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16" w:rsidRPr="00367D51" w:rsidRDefault="00367D51" w:rsidP="00367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5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901" w:rsidRDefault="00367D51" w:rsidP="00066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67D51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7D51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7D51">
        <w:rPr>
          <w:rFonts w:ascii="Times New Roman" w:hAnsi="Times New Roman" w:cs="Times New Roman"/>
          <w:b/>
          <w:sz w:val="28"/>
          <w:szCs w:val="28"/>
        </w:rPr>
        <w:t>мотрение проекта</w:t>
      </w:r>
    </w:p>
    <w:p w:rsidR="00066C12" w:rsidRDefault="00367D51" w:rsidP="00066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7D51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367D51">
        <w:rPr>
          <w:rFonts w:ascii="Times New Roman" w:hAnsi="Times New Roman" w:cs="Times New Roman"/>
          <w:b/>
          <w:sz w:val="28"/>
          <w:szCs w:val="28"/>
        </w:rPr>
        <w:t xml:space="preserve"> Апшеронского городского поселения Апшеронского района</w:t>
      </w:r>
    </w:p>
    <w:p w:rsidR="00367D51" w:rsidRDefault="005F1C44" w:rsidP="00066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67D51" w:rsidRPr="00367D51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367D51">
        <w:rPr>
          <w:rFonts w:ascii="Times New Roman" w:hAnsi="Times New Roman" w:cs="Times New Roman"/>
          <w:b/>
          <w:sz w:val="28"/>
          <w:szCs w:val="28"/>
        </w:rPr>
        <w:t>.</w:t>
      </w:r>
    </w:p>
    <w:p w:rsidR="00367D51" w:rsidRPr="00367D51" w:rsidRDefault="00367D51" w:rsidP="0036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51">
        <w:rPr>
          <w:rFonts w:ascii="Times New Roman" w:hAnsi="Times New Roman" w:cs="Times New Roman"/>
          <w:sz w:val="28"/>
          <w:szCs w:val="28"/>
        </w:rPr>
        <w:t>«29» октября 201</w:t>
      </w:r>
      <w:r w:rsidR="005F1C44">
        <w:rPr>
          <w:rFonts w:ascii="Times New Roman" w:hAnsi="Times New Roman" w:cs="Times New Roman"/>
          <w:sz w:val="28"/>
          <w:szCs w:val="28"/>
        </w:rPr>
        <w:t>9</w:t>
      </w:r>
      <w:r w:rsidRPr="00367D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proofErr w:type="spellStart"/>
      <w:r w:rsidRPr="00367D51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Pr="0036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51" w:rsidRDefault="00367D51" w:rsidP="0036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Зал ГКДЦ</w:t>
      </w:r>
    </w:p>
    <w:p w:rsidR="00A81035" w:rsidRDefault="00234DFD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035" w:rsidRPr="005F1C44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 w:rsidR="00A81035">
        <w:rPr>
          <w:rFonts w:ascii="Times New Roman" w:hAnsi="Times New Roman" w:cs="Times New Roman"/>
          <w:sz w:val="28"/>
          <w:szCs w:val="28"/>
        </w:rPr>
        <w:t xml:space="preserve"> Совет Апшеронского городского поселения Апшеронского района.</w:t>
      </w:r>
    </w:p>
    <w:p w:rsidR="00A81035" w:rsidRDefault="00234DFD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35" w:rsidRPr="005F1C44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="00A81035">
        <w:rPr>
          <w:rFonts w:ascii="Times New Roman" w:hAnsi="Times New Roman" w:cs="Times New Roman"/>
          <w:sz w:val="28"/>
          <w:szCs w:val="28"/>
        </w:rPr>
        <w:t xml:space="preserve"> </w:t>
      </w:r>
      <w:r w:rsidR="00C12901">
        <w:rPr>
          <w:rFonts w:ascii="Times New Roman" w:hAnsi="Times New Roman" w:cs="Times New Roman"/>
          <w:sz w:val="28"/>
          <w:szCs w:val="28"/>
        </w:rPr>
        <w:t>Р</w:t>
      </w:r>
      <w:r w:rsidR="005F1C44">
        <w:rPr>
          <w:rFonts w:ascii="Times New Roman" w:hAnsi="Times New Roman" w:cs="Times New Roman"/>
          <w:sz w:val="28"/>
          <w:szCs w:val="28"/>
        </w:rPr>
        <w:t>ешением Совета</w:t>
      </w:r>
      <w:r w:rsidR="00A81035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 от</w:t>
      </w:r>
      <w:r w:rsidR="005F1C44">
        <w:rPr>
          <w:rFonts w:ascii="Times New Roman" w:hAnsi="Times New Roman" w:cs="Times New Roman"/>
          <w:sz w:val="28"/>
          <w:szCs w:val="28"/>
        </w:rPr>
        <w:t xml:space="preserve"> 11</w:t>
      </w:r>
      <w:r w:rsidR="00CB7D4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F1C44">
        <w:rPr>
          <w:rFonts w:ascii="Times New Roman" w:hAnsi="Times New Roman" w:cs="Times New Roman"/>
          <w:sz w:val="28"/>
          <w:szCs w:val="28"/>
        </w:rPr>
        <w:t>9</w:t>
      </w:r>
      <w:r w:rsidR="00CB7D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1C44">
        <w:rPr>
          <w:rFonts w:ascii="Times New Roman" w:hAnsi="Times New Roman" w:cs="Times New Roman"/>
          <w:sz w:val="28"/>
          <w:szCs w:val="28"/>
        </w:rPr>
        <w:t>5</w:t>
      </w:r>
      <w:r w:rsidR="00CB7D4F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Совета Апшеронского городского поселения Апшеронского района «О бюджете Апшеронского городского поселения Апшер</w:t>
      </w:r>
      <w:r w:rsidR="005F1C44">
        <w:rPr>
          <w:rFonts w:ascii="Times New Roman" w:hAnsi="Times New Roman" w:cs="Times New Roman"/>
          <w:sz w:val="28"/>
          <w:szCs w:val="28"/>
        </w:rPr>
        <w:t>онского района на 2020</w:t>
      </w:r>
      <w:r w:rsidR="00CB7D4F">
        <w:rPr>
          <w:rFonts w:ascii="Times New Roman" w:hAnsi="Times New Roman" w:cs="Times New Roman"/>
          <w:sz w:val="28"/>
          <w:szCs w:val="28"/>
        </w:rPr>
        <w:t xml:space="preserve"> год», назначении даты проведения публичных слушаний, создании организационного комитета по проведению публичных слушаний, установления </w:t>
      </w:r>
      <w:r w:rsidR="00590C14">
        <w:rPr>
          <w:rFonts w:ascii="Times New Roman" w:hAnsi="Times New Roman" w:cs="Times New Roman"/>
          <w:sz w:val="28"/>
          <w:szCs w:val="28"/>
        </w:rPr>
        <w:t>порядка учета и участия граждан в обсуждении проекта решения Совета Апшеронского городского поселения Апшеронского района «О бюджете Апшеронского городского посе</w:t>
      </w:r>
      <w:r w:rsidR="005F1C44">
        <w:rPr>
          <w:rFonts w:ascii="Times New Roman" w:hAnsi="Times New Roman" w:cs="Times New Roman"/>
          <w:sz w:val="28"/>
          <w:szCs w:val="28"/>
        </w:rPr>
        <w:t>ления Апшеронского района на 2020</w:t>
      </w:r>
      <w:r w:rsidR="00590C14">
        <w:rPr>
          <w:rFonts w:ascii="Times New Roman" w:hAnsi="Times New Roman" w:cs="Times New Roman"/>
          <w:sz w:val="28"/>
          <w:szCs w:val="28"/>
        </w:rPr>
        <w:t xml:space="preserve"> год»</w:t>
      </w:r>
      <w:r w:rsidR="002777DA">
        <w:rPr>
          <w:rFonts w:ascii="Times New Roman" w:hAnsi="Times New Roman" w:cs="Times New Roman"/>
          <w:sz w:val="28"/>
          <w:szCs w:val="28"/>
        </w:rPr>
        <w:t>.</w:t>
      </w:r>
    </w:p>
    <w:p w:rsidR="00B75580" w:rsidRDefault="00036C80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C44" w:rsidRPr="005F1C44">
        <w:rPr>
          <w:rFonts w:ascii="Times New Roman" w:hAnsi="Times New Roman" w:cs="Times New Roman"/>
          <w:b/>
          <w:sz w:val="28"/>
          <w:szCs w:val="28"/>
        </w:rPr>
        <w:t>Тема</w:t>
      </w:r>
      <w:r w:rsidR="00B75580" w:rsidRPr="005F1C4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  <w:r w:rsidR="00B75580">
        <w:rPr>
          <w:rFonts w:ascii="Times New Roman" w:hAnsi="Times New Roman" w:cs="Times New Roman"/>
          <w:sz w:val="28"/>
          <w:szCs w:val="28"/>
        </w:rPr>
        <w:t xml:space="preserve"> Рассмотрение проекта бюджета Апшеронского городского посе</w:t>
      </w:r>
      <w:r w:rsidR="005F1C44">
        <w:rPr>
          <w:rFonts w:ascii="Times New Roman" w:hAnsi="Times New Roman" w:cs="Times New Roman"/>
          <w:sz w:val="28"/>
          <w:szCs w:val="28"/>
        </w:rPr>
        <w:t>ления Апшеронского района на 2020</w:t>
      </w:r>
      <w:r w:rsidR="00B755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431B" w:rsidRDefault="00036C80" w:rsidP="0097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431B" w:rsidRPr="0097431B">
        <w:rPr>
          <w:rFonts w:ascii="Times New Roman" w:hAnsi="Times New Roman" w:cs="Times New Roman"/>
          <w:b/>
          <w:sz w:val="28"/>
          <w:szCs w:val="28"/>
        </w:rPr>
        <w:t>Опубликование и</w:t>
      </w:r>
      <w:r w:rsidR="00B16FE6" w:rsidRPr="0097431B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C12901">
        <w:rPr>
          <w:rFonts w:ascii="Times New Roman" w:hAnsi="Times New Roman" w:cs="Times New Roman"/>
          <w:b/>
          <w:sz w:val="28"/>
          <w:szCs w:val="28"/>
        </w:rPr>
        <w:t>и</w:t>
      </w:r>
      <w:r w:rsidR="00B16FE6" w:rsidRPr="00B16FE6">
        <w:rPr>
          <w:rFonts w:ascii="Times New Roman" w:hAnsi="Times New Roman" w:cs="Times New Roman"/>
          <w:b/>
          <w:sz w:val="28"/>
          <w:szCs w:val="28"/>
        </w:rPr>
        <w:t xml:space="preserve"> о публичных слушаниях:</w:t>
      </w:r>
      <w:r w:rsidR="00B16FE6">
        <w:rPr>
          <w:rFonts w:ascii="Times New Roman" w:hAnsi="Times New Roman" w:cs="Times New Roman"/>
          <w:sz w:val="28"/>
          <w:szCs w:val="28"/>
        </w:rPr>
        <w:t xml:space="preserve"> </w:t>
      </w:r>
      <w:r w:rsidR="000C7586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 w:rsidR="001D7D8C">
        <w:rPr>
          <w:rFonts w:ascii="Times New Roman" w:hAnsi="Times New Roman" w:cs="Times New Roman"/>
          <w:sz w:val="28"/>
          <w:szCs w:val="28"/>
        </w:rPr>
        <w:t>публичн</w:t>
      </w:r>
      <w:r w:rsidR="00B16FE6">
        <w:rPr>
          <w:rFonts w:ascii="Times New Roman" w:hAnsi="Times New Roman" w:cs="Times New Roman"/>
          <w:sz w:val="28"/>
          <w:szCs w:val="28"/>
        </w:rPr>
        <w:t>ых слушаниях</w:t>
      </w:r>
      <w:r w:rsidR="001D7D8C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="00B16FE6">
        <w:rPr>
          <w:rFonts w:ascii="Times New Roman" w:hAnsi="Times New Roman" w:cs="Times New Roman"/>
          <w:sz w:val="28"/>
          <w:szCs w:val="28"/>
        </w:rPr>
        <w:t>в районной газете «Апшеронский рабочий»</w:t>
      </w:r>
      <w:r w:rsidR="00B16FE6">
        <w:rPr>
          <w:rFonts w:ascii="Times New Roman" w:hAnsi="Times New Roman" w:cs="Times New Roman"/>
          <w:sz w:val="28"/>
          <w:szCs w:val="28"/>
        </w:rPr>
        <w:t xml:space="preserve"> от </w:t>
      </w:r>
      <w:r w:rsidR="001D7D8C">
        <w:rPr>
          <w:rFonts w:ascii="Times New Roman" w:hAnsi="Times New Roman" w:cs="Times New Roman"/>
          <w:sz w:val="28"/>
          <w:szCs w:val="28"/>
        </w:rPr>
        <w:t>1</w:t>
      </w:r>
      <w:r w:rsidR="005F1C44">
        <w:rPr>
          <w:rFonts w:ascii="Times New Roman" w:hAnsi="Times New Roman" w:cs="Times New Roman"/>
          <w:sz w:val="28"/>
          <w:szCs w:val="28"/>
        </w:rPr>
        <w:t>7</w:t>
      </w:r>
      <w:r w:rsidR="001D7D8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F1C44">
        <w:rPr>
          <w:rFonts w:ascii="Times New Roman" w:hAnsi="Times New Roman" w:cs="Times New Roman"/>
          <w:sz w:val="28"/>
          <w:szCs w:val="28"/>
        </w:rPr>
        <w:t>9</w:t>
      </w:r>
      <w:r w:rsidR="001D7D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5D40">
        <w:rPr>
          <w:rFonts w:ascii="Times New Roman" w:hAnsi="Times New Roman" w:cs="Times New Roman"/>
          <w:sz w:val="28"/>
          <w:szCs w:val="28"/>
        </w:rPr>
        <w:t xml:space="preserve">№ </w:t>
      </w:r>
      <w:r w:rsidR="005F1C44">
        <w:rPr>
          <w:rFonts w:ascii="Times New Roman" w:hAnsi="Times New Roman" w:cs="Times New Roman"/>
          <w:sz w:val="28"/>
          <w:szCs w:val="28"/>
        </w:rPr>
        <w:t>42</w:t>
      </w:r>
      <w:r w:rsidR="00E65D40">
        <w:rPr>
          <w:rFonts w:ascii="Times New Roman" w:hAnsi="Times New Roman" w:cs="Times New Roman"/>
          <w:sz w:val="28"/>
          <w:szCs w:val="28"/>
        </w:rPr>
        <w:t xml:space="preserve"> (11</w:t>
      </w:r>
      <w:r w:rsidR="005F1C44">
        <w:rPr>
          <w:rFonts w:ascii="Times New Roman" w:hAnsi="Times New Roman" w:cs="Times New Roman"/>
          <w:sz w:val="28"/>
          <w:szCs w:val="28"/>
        </w:rPr>
        <w:t>232</w:t>
      </w:r>
      <w:r w:rsidR="00E65D40">
        <w:rPr>
          <w:rFonts w:ascii="Times New Roman" w:hAnsi="Times New Roman" w:cs="Times New Roman"/>
          <w:sz w:val="28"/>
          <w:szCs w:val="28"/>
        </w:rPr>
        <w:t>)</w:t>
      </w:r>
      <w:r w:rsidR="0097431B">
        <w:rPr>
          <w:rFonts w:ascii="Times New Roman" w:hAnsi="Times New Roman" w:cs="Times New Roman"/>
          <w:sz w:val="28"/>
          <w:szCs w:val="28"/>
        </w:rPr>
        <w:t xml:space="preserve"> и</w:t>
      </w:r>
      <w:r w:rsidR="009743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Апшеронского городского поселения Апшеронского района в сети «Интернет».</w:t>
      </w:r>
    </w:p>
    <w:p w:rsidR="00F000D9" w:rsidRDefault="00003FEC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1121" w:rsidRPr="0097431B">
        <w:rPr>
          <w:rFonts w:ascii="Times New Roman" w:hAnsi="Times New Roman" w:cs="Times New Roman"/>
          <w:b/>
          <w:sz w:val="28"/>
          <w:szCs w:val="28"/>
        </w:rPr>
        <w:t>Эксперты:</w:t>
      </w:r>
      <w:r w:rsidR="003D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0D9">
        <w:rPr>
          <w:rFonts w:ascii="Times New Roman" w:hAnsi="Times New Roman" w:cs="Times New Roman"/>
          <w:sz w:val="28"/>
          <w:szCs w:val="28"/>
        </w:rPr>
        <w:t>Михайлусова</w:t>
      </w:r>
      <w:proofErr w:type="spellEnd"/>
      <w:r w:rsidR="00F000D9">
        <w:rPr>
          <w:rFonts w:ascii="Times New Roman" w:hAnsi="Times New Roman" w:cs="Times New Roman"/>
          <w:sz w:val="28"/>
          <w:szCs w:val="28"/>
        </w:rPr>
        <w:t xml:space="preserve"> Елена Владимировна – заместитель руководителя федерального казначейства по Апшеронскому району;</w:t>
      </w:r>
    </w:p>
    <w:p w:rsidR="00F000D9" w:rsidRDefault="00F000D9" w:rsidP="00CB7D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председатель контрольно-счетной палаты МО Апшеронский район</w:t>
      </w:r>
      <w:r w:rsidR="009743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6"/>
        <w:gridCol w:w="709"/>
        <w:gridCol w:w="4320"/>
        <w:gridCol w:w="1492"/>
        <w:gridCol w:w="851"/>
      </w:tblGrid>
      <w:tr w:rsidR="00D23951" w:rsidRPr="00241B26" w:rsidTr="00A30E6D">
        <w:tc>
          <w:tcPr>
            <w:tcW w:w="2155" w:type="dxa"/>
            <w:gridSpan w:val="2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 xml:space="preserve">Проект правового акта или 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вопросы</w:t>
            </w:r>
            <w:proofErr w:type="gramEnd"/>
            <w:r w:rsidRPr="00A60513">
              <w:rPr>
                <w:rFonts w:ascii="Times New Roman" w:hAnsi="Times New Roman"/>
              </w:rPr>
              <w:t xml:space="preserve">, вынесенные 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на</w:t>
            </w:r>
            <w:proofErr w:type="gramEnd"/>
            <w:r w:rsidRPr="00A60513">
              <w:rPr>
                <w:rFonts w:ascii="Times New Roman" w:hAnsi="Times New Roman"/>
              </w:rPr>
              <w:t xml:space="preserve"> обсуждение</w:t>
            </w:r>
          </w:p>
        </w:tc>
        <w:tc>
          <w:tcPr>
            <w:tcW w:w="5029" w:type="dxa"/>
            <w:gridSpan w:val="2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 xml:space="preserve">Предложения и 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рекомендации</w:t>
            </w:r>
            <w:proofErr w:type="gramEnd"/>
            <w:r w:rsidRPr="00A60513">
              <w:rPr>
                <w:rFonts w:ascii="Times New Roman" w:hAnsi="Times New Roman"/>
              </w:rPr>
              <w:t xml:space="preserve"> экспертов 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и</w:t>
            </w:r>
            <w:proofErr w:type="gramEnd"/>
            <w:r w:rsidRPr="00A60513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492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Предложения, рекомендации внесены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(</w:t>
            </w:r>
            <w:proofErr w:type="gramStart"/>
            <w:r w:rsidRPr="00A60513">
              <w:rPr>
                <w:rFonts w:ascii="Times New Roman" w:hAnsi="Times New Roman"/>
              </w:rPr>
              <w:t>поддержаны</w:t>
            </w:r>
            <w:proofErr w:type="gramEnd"/>
            <w:r w:rsidRPr="00A60513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Примечание</w:t>
            </w:r>
          </w:p>
        </w:tc>
      </w:tr>
      <w:tr w:rsidR="00D23951" w:rsidRPr="00241B26" w:rsidTr="00A30E6D">
        <w:tc>
          <w:tcPr>
            <w:tcW w:w="709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№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п</w:t>
            </w:r>
            <w:proofErr w:type="gramEnd"/>
            <w:r w:rsidRPr="00A60513">
              <w:rPr>
                <w:rFonts w:ascii="Times New Roman" w:hAnsi="Times New Roman"/>
              </w:rPr>
              <w:t>/п</w:t>
            </w:r>
          </w:p>
        </w:tc>
        <w:tc>
          <w:tcPr>
            <w:tcW w:w="1446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Наименование проекта или формулировка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вопроса</w:t>
            </w:r>
            <w:proofErr w:type="gramEnd"/>
          </w:p>
        </w:tc>
        <w:tc>
          <w:tcPr>
            <w:tcW w:w="709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№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п</w:t>
            </w:r>
            <w:proofErr w:type="gramEnd"/>
            <w:r w:rsidRPr="00A60513">
              <w:rPr>
                <w:rFonts w:ascii="Times New Roman" w:hAnsi="Times New Roman"/>
              </w:rPr>
              <w:t>/п</w:t>
            </w:r>
          </w:p>
        </w:tc>
        <w:tc>
          <w:tcPr>
            <w:tcW w:w="4320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Текст предложения, рекомендации</w:t>
            </w:r>
          </w:p>
        </w:tc>
        <w:tc>
          <w:tcPr>
            <w:tcW w:w="1492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Ф.И.О. эксперта,</w:t>
            </w:r>
          </w:p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proofErr w:type="gramStart"/>
            <w:r w:rsidRPr="00A60513">
              <w:rPr>
                <w:rFonts w:ascii="Times New Roman" w:hAnsi="Times New Roman"/>
              </w:rPr>
              <w:t>участника</w:t>
            </w:r>
            <w:proofErr w:type="gramEnd"/>
            <w:r w:rsidRPr="00A60513">
              <w:rPr>
                <w:rFonts w:ascii="Times New Roman" w:hAnsi="Times New Roman"/>
              </w:rPr>
              <w:t>, название организации</w:t>
            </w:r>
          </w:p>
        </w:tc>
        <w:tc>
          <w:tcPr>
            <w:tcW w:w="851" w:type="dxa"/>
            <w:vMerge/>
          </w:tcPr>
          <w:p w:rsidR="00D23951" w:rsidRPr="00A60513" w:rsidRDefault="00D23951" w:rsidP="00685765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D23951" w:rsidRPr="00241B26" w:rsidTr="00A30E6D">
        <w:tc>
          <w:tcPr>
            <w:tcW w:w="709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23951" w:rsidRPr="00B27CAA" w:rsidRDefault="00D23951" w:rsidP="00B27CA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B27CAA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D23951" w:rsidRPr="00B27CAA" w:rsidRDefault="00D23951" w:rsidP="00B27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</w:tcPr>
          <w:p w:rsidR="00D23951" w:rsidRPr="00B27CAA" w:rsidRDefault="00D23951" w:rsidP="00B27CA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B27CA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23951" w:rsidRPr="00B27CAA" w:rsidRDefault="00D23951" w:rsidP="00B27CA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B27CAA">
              <w:rPr>
                <w:rFonts w:ascii="Times New Roman" w:hAnsi="Times New Roman"/>
              </w:rPr>
              <w:t>6</w:t>
            </w:r>
          </w:p>
        </w:tc>
      </w:tr>
      <w:tr w:rsidR="00D23951" w:rsidRPr="00A60513" w:rsidTr="00A30E6D">
        <w:tc>
          <w:tcPr>
            <w:tcW w:w="709" w:type="dxa"/>
          </w:tcPr>
          <w:p w:rsidR="00D23951" w:rsidRPr="00A60513" w:rsidRDefault="00D23951" w:rsidP="0068576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A6051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46" w:type="dxa"/>
          </w:tcPr>
          <w:p w:rsidR="00D23951" w:rsidRPr="00B27CAA" w:rsidRDefault="00B27CAA" w:rsidP="00003FEC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AA">
              <w:rPr>
                <w:rFonts w:ascii="Times New Roman" w:hAnsi="Times New Roman"/>
                <w:sz w:val="24"/>
                <w:szCs w:val="24"/>
              </w:rPr>
              <w:t>Рассмотрение проекта бюджета Апшеронского городского поселения Апшеронского района на 20</w:t>
            </w:r>
            <w:r w:rsidR="00003FEC">
              <w:rPr>
                <w:rFonts w:ascii="Times New Roman" w:hAnsi="Times New Roman"/>
                <w:sz w:val="24"/>
                <w:szCs w:val="24"/>
              </w:rPr>
              <w:t>20</w:t>
            </w:r>
            <w:r w:rsidRPr="00B27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426C7" w:rsidRDefault="009426C7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6C7" w:rsidRDefault="00DB4208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D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6C7" w:rsidRDefault="009426C7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6C7" w:rsidRDefault="009426C7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6C7" w:rsidRDefault="009426C7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DA7" w:rsidRDefault="006F5D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6C7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2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A7" w:rsidRDefault="003F70A7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66" w:rsidRPr="00B27CAA" w:rsidRDefault="003A6F66" w:rsidP="00F000D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27CAA" w:rsidRDefault="006B02BF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Поступил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микрорайона 18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гр.Григорян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Альбертовича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Апшеронск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Тимирязева, д.30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Шульгиной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Анастасии Александровны, проживающей по адресу: </w:t>
            </w:r>
            <w:proofErr w:type="spellStart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пер.Шолохова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proofErr w:type="spellStart"/>
            <w:r w:rsidR="006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Майи </w:t>
            </w:r>
            <w:proofErr w:type="spellStart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Сумпатовны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проживающей по адресу: </w:t>
            </w:r>
            <w:proofErr w:type="spellStart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="005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д.78, </w:t>
            </w:r>
            <w:proofErr w:type="spellStart"/>
            <w:r w:rsidR="006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</w:t>
            </w:r>
            <w:proofErr w:type="spellEnd"/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Павла Васильевича, проживающего по адресу: </w:t>
            </w:r>
            <w:proofErr w:type="spellStart"/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="0020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д.32)</w:t>
            </w:r>
          </w:p>
          <w:p w:rsidR="006F5DA7" w:rsidRDefault="006F5DA7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BF" w:rsidRDefault="006B02BF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выделения денежных средств из бюджета А</w:t>
            </w:r>
            <w:r w:rsidR="00DD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пшеронского городского поселения Апшеронского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для организации освещения спортивной площадки и асфальтирования тротуара в районе МБОУСОШ № 18. </w:t>
            </w:r>
          </w:p>
          <w:p w:rsidR="006F5DA7" w:rsidRDefault="006F5DA7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A7" w:rsidRDefault="006F5DA7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жителей микрорайона 18 школы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Анастасии Юрьевны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Апшеронск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Горького, д.100,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Анастасии Сергеевны,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пер.Гвардейский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Хмелевой Ларисы Николаевны, проживающей по адр</w:t>
            </w:r>
            <w:r w:rsidR="003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есу: </w:t>
            </w:r>
            <w:proofErr w:type="spellStart"/>
            <w:r w:rsidR="003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3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гр.Сперянской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 Ивановны, проживающей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д.19,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проживающей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Горького, д.95А,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гр.Булгаковой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 Анатольевны, проживающей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гр.Бордонос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Людмилы Ивановны, проживающей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д.108,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гр.Рогожиной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Олеси Геннадьевны, проживающей по адресу: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д.85,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гр.Доппельмштейн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Викторовны, проживающей по адресу: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ул.Д.Бедного</w:t>
            </w:r>
            <w:proofErr w:type="spellEnd"/>
            <w:r w:rsidR="003D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д.24, </w:t>
            </w:r>
            <w:proofErr w:type="spellStart"/>
            <w:r w:rsidR="000F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гр.Кра</w:t>
            </w:r>
            <w:r w:rsidR="000F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вченко</w:t>
            </w:r>
            <w:proofErr w:type="spellEnd"/>
            <w:r w:rsidR="000F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Сергея Александровича, </w:t>
            </w:r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proofErr w:type="spellStart"/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Островского, д.59.</w:t>
            </w:r>
          </w:p>
          <w:p w:rsidR="00586591" w:rsidRDefault="00586591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BF" w:rsidRDefault="006B02BF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средства в бюджете поселения 2020 года для устройства тротуаров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</w:t>
            </w:r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до дома № 106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</w:t>
            </w:r>
            <w:r w:rsidR="00AE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E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до дома № 75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E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г.Апшеронске</w:t>
            </w:r>
            <w:proofErr w:type="spellEnd"/>
            <w:r w:rsidR="0058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591" w:rsidRDefault="00586591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591" w:rsidRDefault="004C6B19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квартальной  квартала № 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Алевтины Алексеевны,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живающей по адресу: г. Апшеронск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д.105, кв.71</w:t>
            </w:r>
          </w:p>
          <w:p w:rsidR="00586591" w:rsidRDefault="00586591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27" w:rsidRDefault="00790FEC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Заложить в бюджете поселения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снос аварийного дома </w:t>
            </w:r>
            <w:r w:rsidR="004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поселке ГРЭС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r w:rsidR="004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B19" w:rsidRDefault="004C6B19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EA" w:rsidRDefault="006A2CEA" w:rsidP="006A2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квартальной  квартала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Алевтины Алексеевны, проживающей по адресу: г. Апшеронск ул. Комарова, д.105, кв.71</w:t>
            </w:r>
          </w:p>
          <w:p w:rsidR="004C6B19" w:rsidRDefault="004C6B19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EA" w:rsidRDefault="006A2CEA" w:rsidP="006A2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средства в бюджете А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пшеронского городского поселения Апшеронского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на строительство тротуаров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гимназии № 5 до общежития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дороги до складов Краснодарской рыбной компании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2CEA" w:rsidRDefault="006A2CEA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EA" w:rsidRDefault="006A2CEA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гр.Трапизонян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роживающей по адресу: г. Апшеронск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Социалистическая, д.19.</w:t>
            </w:r>
          </w:p>
          <w:p w:rsidR="006A2CEA" w:rsidRDefault="006A2CEA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27" w:rsidRDefault="00AE3327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Заложить в бюджете поселения на 2020 год средства на строительство тротуара и освещения в районе ЦРБ.</w:t>
            </w:r>
          </w:p>
          <w:p w:rsidR="006A2CEA" w:rsidRDefault="006A2CEA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66" w:rsidRDefault="003A6F66" w:rsidP="003A6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квартального комитета  квартала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Александровны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проживающей по адресу: г. Апшеронск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 д.23, кв.7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2CEA" w:rsidRDefault="006A2CEA" w:rsidP="002034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27" w:rsidRPr="009426C7" w:rsidRDefault="00C35EFF" w:rsidP="003F70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в бюджете поселения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текущий ремонт дороги и обустройство тротуара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ул.Вокзальной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детского сада № 8 до детского сада № 38</w:t>
            </w:r>
            <w:r w:rsidR="003F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2" w:type="dxa"/>
          </w:tcPr>
          <w:p w:rsidR="00D23951" w:rsidRPr="00B27CAA" w:rsidRDefault="00E04648" w:rsidP="00E04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внесению изменений в «Проект бюджета Апшеронского городского поселения Апшеронского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вынести на сессию Совета Апшеронского городского поселения Апшеронского района.</w:t>
            </w:r>
          </w:p>
        </w:tc>
        <w:tc>
          <w:tcPr>
            <w:tcW w:w="851" w:type="dxa"/>
          </w:tcPr>
          <w:p w:rsidR="00D23951" w:rsidRPr="00B27CAA" w:rsidRDefault="00D23951" w:rsidP="00B27CA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6B29" w:rsidRDefault="00A56B29" w:rsidP="00284B01">
      <w:pPr>
        <w:pStyle w:val="ConsNonformat"/>
        <w:widowControl/>
        <w:ind w:left="360" w:right="0"/>
        <w:jc w:val="both"/>
        <w:rPr>
          <w:rFonts w:ascii="Times New Roman" w:hAnsi="Times New Roman"/>
          <w:sz w:val="28"/>
        </w:rPr>
      </w:pPr>
    </w:p>
    <w:p w:rsidR="00B2041B" w:rsidRDefault="00D23951" w:rsidP="006561D0">
      <w:pPr>
        <w:pStyle w:val="ConsNonformat"/>
        <w:widowControl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447402">
        <w:rPr>
          <w:rFonts w:ascii="Times New Roman" w:hAnsi="Times New Roman"/>
          <w:b/>
          <w:sz w:val="28"/>
        </w:rPr>
        <w:t>Предложения уполномоченного органа:</w:t>
      </w:r>
      <w:r w:rsidR="009426C7">
        <w:rPr>
          <w:rFonts w:ascii="Times New Roman" w:hAnsi="Times New Roman"/>
          <w:sz w:val="28"/>
        </w:rPr>
        <w:t xml:space="preserve"> </w:t>
      </w:r>
      <w:r w:rsidR="00447402">
        <w:rPr>
          <w:rFonts w:ascii="Times New Roman" w:hAnsi="Times New Roman"/>
          <w:sz w:val="28"/>
        </w:rPr>
        <w:t>О</w:t>
      </w:r>
      <w:r w:rsidRPr="0064074E">
        <w:rPr>
          <w:rFonts w:ascii="Times New Roman" w:hAnsi="Times New Roman"/>
          <w:sz w:val="28"/>
        </w:rPr>
        <w:t>добр</w:t>
      </w:r>
      <w:r w:rsidR="00A56B29">
        <w:rPr>
          <w:rFonts w:ascii="Times New Roman" w:hAnsi="Times New Roman"/>
          <w:sz w:val="28"/>
        </w:rPr>
        <w:t xml:space="preserve">ить и принять за основу проект </w:t>
      </w:r>
      <w:r w:rsidRPr="0064074E">
        <w:rPr>
          <w:rFonts w:ascii="Times New Roman" w:hAnsi="Times New Roman"/>
          <w:sz w:val="28"/>
        </w:rPr>
        <w:t>решения</w:t>
      </w:r>
      <w:r w:rsidR="00306B48" w:rsidRPr="00284B01">
        <w:rPr>
          <w:rFonts w:ascii="Times New Roman" w:hAnsi="Times New Roman"/>
          <w:sz w:val="28"/>
          <w:szCs w:val="28"/>
        </w:rPr>
        <w:t xml:space="preserve"> бюджета Апшеронского городского поселения Апшеронского района на 20</w:t>
      </w:r>
      <w:r w:rsidR="00F000D9">
        <w:rPr>
          <w:rFonts w:ascii="Times New Roman" w:hAnsi="Times New Roman"/>
          <w:sz w:val="28"/>
          <w:szCs w:val="28"/>
        </w:rPr>
        <w:t>20</w:t>
      </w:r>
      <w:r w:rsidR="00306B48" w:rsidRPr="00284B01">
        <w:rPr>
          <w:rFonts w:ascii="Times New Roman" w:hAnsi="Times New Roman"/>
          <w:sz w:val="28"/>
          <w:szCs w:val="28"/>
        </w:rPr>
        <w:t xml:space="preserve"> год. </w:t>
      </w:r>
    </w:p>
    <w:p w:rsidR="00A56B29" w:rsidRPr="00284B01" w:rsidRDefault="00A56B29" w:rsidP="006561D0">
      <w:pPr>
        <w:pStyle w:val="ConsNonformat"/>
        <w:widowControl/>
        <w:ind w:left="360" w:right="0"/>
        <w:jc w:val="both"/>
        <w:rPr>
          <w:rFonts w:ascii="Times New Roman" w:hAnsi="Times New Roman"/>
          <w:sz w:val="28"/>
          <w:szCs w:val="28"/>
        </w:rPr>
      </w:pPr>
    </w:p>
    <w:p w:rsidR="00B2041B" w:rsidRDefault="006561D0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041B">
        <w:rPr>
          <w:rFonts w:ascii="Times New Roman" w:hAnsi="Times New Roman" w:cs="Times New Roman"/>
          <w:sz w:val="28"/>
          <w:szCs w:val="28"/>
        </w:rPr>
        <w:t>Опубликовать заключение публичных слушаний на официальном сайте администрации Апшеронского городского поселения Апшеро</w:t>
      </w:r>
      <w:r w:rsidR="00447402">
        <w:rPr>
          <w:rFonts w:ascii="Times New Roman" w:hAnsi="Times New Roman" w:cs="Times New Roman"/>
          <w:sz w:val="28"/>
          <w:szCs w:val="28"/>
        </w:rPr>
        <w:t>нского района в сети «Интернет» и</w:t>
      </w:r>
      <w:r w:rsidR="00EC48AA">
        <w:rPr>
          <w:rFonts w:ascii="Times New Roman" w:hAnsi="Times New Roman" w:cs="Times New Roman"/>
          <w:sz w:val="28"/>
          <w:szCs w:val="28"/>
        </w:rPr>
        <w:t xml:space="preserve"> в районной газете «Апшеронский рабочий». </w:t>
      </w:r>
    </w:p>
    <w:p w:rsidR="00B2041B" w:rsidRDefault="006561D0" w:rsidP="00CB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41B">
        <w:rPr>
          <w:rFonts w:ascii="Times New Roman" w:hAnsi="Times New Roman" w:cs="Times New Roman"/>
          <w:sz w:val="28"/>
          <w:szCs w:val="28"/>
        </w:rPr>
        <w:t xml:space="preserve">Рекомендовать Совету Апшеронского городского поселения Апшеронского района принять проект </w:t>
      </w:r>
      <w:r w:rsidR="00E629EB">
        <w:rPr>
          <w:rFonts w:ascii="Times New Roman" w:hAnsi="Times New Roman" w:cs="Times New Roman"/>
          <w:sz w:val="28"/>
          <w:szCs w:val="28"/>
        </w:rPr>
        <w:t>бюджета Апшеронского городского поселения Апшеронского района на 20</w:t>
      </w:r>
      <w:r w:rsidR="00F000D9">
        <w:rPr>
          <w:rFonts w:ascii="Times New Roman" w:hAnsi="Times New Roman" w:cs="Times New Roman"/>
          <w:sz w:val="28"/>
          <w:szCs w:val="28"/>
        </w:rPr>
        <w:t>20</w:t>
      </w:r>
      <w:r w:rsidR="00E629EB">
        <w:rPr>
          <w:rFonts w:ascii="Times New Roman" w:hAnsi="Times New Roman" w:cs="Times New Roman"/>
          <w:sz w:val="28"/>
          <w:szCs w:val="28"/>
        </w:rPr>
        <w:t xml:space="preserve"> год в соответствии с действующим законодательством.</w:t>
      </w:r>
    </w:p>
    <w:p w:rsidR="00F000D9" w:rsidRDefault="00F000D9" w:rsidP="00CB7D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9EB" w:rsidRDefault="00E629EB" w:rsidP="00E6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04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</w:p>
    <w:p w:rsidR="009C1C24" w:rsidRPr="00367D51" w:rsidRDefault="00E629EB" w:rsidP="00F00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                                          </w:t>
      </w:r>
      <w:r w:rsidR="00EC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3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22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000D9">
        <w:rPr>
          <w:rFonts w:ascii="Times New Roman" w:hAnsi="Times New Roman" w:cs="Times New Roman"/>
          <w:sz w:val="28"/>
          <w:szCs w:val="28"/>
        </w:rPr>
        <w:t>А.Ю.Блажко</w:t>
      </w:r>
      <w:proofErr w:type="spellEnd"/>
    </w:p>
    <w:p w:rsidR="00367D51" w:rsidRPr="00367D51" w:rsidRDefault="00367D51" w:rsidP="00367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7D51" w:rsidRPr="00367D51" w:rsidSect="00D239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BBD"/>
    <w:multiLevelType w:val="hybridMultilevel"/>
    <w:tmpl w:val="D11E2CD8"/>
    <w:lvl w:ilvl="0" w:tplc="9FC02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0F730D"/>
    <w:multiLevelType w:val="hybridMultilevel"/>
    <w:tmpl w:val="4D80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4"/>
    <w:rsid w:val="00002D71"/>
    <w:rsid w:val="00003FEC"/>
    <w:rsid w:val="00036C80"/>
    <w:rsid w:val="00046C98"/>
    <w:rsid w:val="00066C12"/>
    <w:rsid w:val="000C7586"/>
    <w:rsid w:val="000F304C"/>
    <w:rsid w:val="00173E02"/>
    <w:rsid w:val="00180544"/>
    <w:rsid w:val="00197350"/>
    <w:rsid w:val="001A41D1"/>
    <w:rsid w:val="001D7D8C"/>
    <w:rsid w:val="001E103B"/>
    <w:rsid w:val="00203416"/>
    <w:rsid w:val="00234DFD"/>
    <w:rsid w:val="002777DA"/>
    <w:rsid w:val="00284B01"/>
    <w:rsid w:val="00306B48"/>
    <w:rsid w:val="003114BC"/>
    <w:rsid w:val="00330E16"/>
    <w:rsid w:val="00367D51"/>
    <w:rsid w:val="0039357C"/>
    <w:rsid w:val="003A5D9B"/>
    <w:rsid w:val="003A6F66"/>
    <w:rsid w:val="003D1121"/>
    <w:rsid w:val="003D3F02"/>
    <w:rsid w:val="003F70A7"/>
    <w:rsid w:val="004371BE"/>
    <w:rsid w:val="00447402"/>
    <w:rsid w:val="00453B27"/>
    <w:rsid w:val="004A228E"/>
    <w:rsid w:val="004C6B19"/>
    <w:rsid w:val="00512FF0"/>
    <w:rsid w:val="0057435B"/>
    <w:rsid w:val="005863C4"/>
    <w:rsid w:val="00586591"/>
    <w:rsid w:val="00590C14"/>
    <w:rsid w:val="005B7669"/>
    <w:rsid w:val="005F1C44"/>
    <w:rsid w:val="00651447"/>
    <w:rsid w:val="006561D0"/>
    <w:rsid w:val="006A2CEA"/>
    <w:rsid w:val="006B02BF"/>
    <w:rsid w:val="006F5DA7"/>
    <w:rsid w:val="00747236"/>
    <w:rsid w:val="00790FEC"/>
    <w:rsid w:val="007F225C"/>
    <w:rsid w:val="00817902"/>
    <w:rsid w:val="00841DE9"/>
    <w:rsid w:val="008E195B"/>
    <w:rsid w:val="009426C7"/>
    <w:rsid w:val="00951A7A"/>
    <w:rsid w:val="0097431B"/>
    <w:rsid w:val="009C1C24"/>
    <w:rsid w:val="00A10CFC"/>
    <w:rsid w:val="00A1498B"/>
    <w:rsid w:val="00A30E6D"/>
    <w:rsid w:val="00A56B29"/>
    <w:rsid w:val="00A64007"/>
    <w:rsid w:val="00A7560E"/>
    <w:rsid w:val="00A81035"/>
    <w:rsid w:val="00AB7F42"/>
    <w:rsid w:val="00AE3327"/>
    <w:rsid w:val="00AE7773"/>
    <w:rsid w:val="00B16FE6"/>
    <w:rsid w:val="00B2041B"/>
    <w:rsid w:val="00B27CAA"/>
    <w:rsid w:val="00B6522E"/>
    <w:rsid w:val="00B75580"/>
    <w:rsid w:val="00C12901"/>
    <w:rsid w:val="00C21CEF"/>
    <w:rsid w:val="00C35EFF"/>
    <w:rsid w:val="00C768D2"/>
    <w:rsid w:val="00CB7D4F"/>
    <w:rsid w:val="00D11EAD"/>
    <w:rsid w:val="00D23951"/>
    <w:rsid w:val="00D31320"/>
    <w:rsid w:val="00D415A6"/>
    <w:rsid w:val="00D43D94"/>
    <w:rsid w:val="00D57714"/>
    <w:rsid w:val="00D60FD7"/>
    <w:rsid w:val="00DB4208"/>
    <w:rsid w:val="00DD4EBD"/>
    <w:rsid w:val="00DD7F6A"/>
    <w:rsid w:val="00E04648"/>
    <w:rsid w:val="00E61192"/>
    <w:rsid w:val="00E629EB"/>
    <w:rsid w:val="00E65D40"/>
    <w:rsid w:val="00E711BE"/>
    <w:rsid w:val="00EC48AA"/>
    <w:rsid w:val="00EC7C94"/>
    <w:rsid w:val="00EE7BBA"/>
    <w:rsid w:val="00EF3AD4"/>
    <w:rsid w:val="00F000D9"/>
    <w:rsid w:val="00F42AE4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807A-7990-48EF-B57B-691D50C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D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D2395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2019-10-29T15:10:00Z</cp:lastPrinted>
  <dcterms:created xsi:type="dcterms:W3CDTF">2019-10-29T15:11:00Z</dcterms:created>
  <dcterms:modified xsi:type="dcterms:W3CDTF">2019-10-29T15:11:00Z</dcterms:modified>
</cp:coreProperties>
</file>