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70" w:rsidRDefault="00FF0170" w:rsidP="00FF0170">
      <w:pPr>
        <w:pStyle w:val="3"/>
      </w:pPr>
      <w:r>
        <w:t> </w:t>
      </w:r>
    </w:p>
    <w:p w:rsidR="00FF0170" w:rsidRDefault="00FF0170" w:rsidP="00FF0170">
      <w:pPr>
        <w:pStyle w:val="a3"/>
        <w:spacing w:after="240" w:afterAutospacing="0"/>
        <w:jc w:val="center"/>
      </w:pPr>
      <w:r>
        <w:rPr>
          <w:rStyle w:val="a4"/>
        </w:rPr>
        <w:t>АДМИНИСТРАЦИЯ АПШЕРОНСКОГО ГОРОДСКОГО ПОСЕЛЕНИЯ</w:t>
      </w:r>
      <w:r>
        <w:br/>
      </w:r>
      <w:r>
        <w:rPr>
          <w:rStyle w:val="a4"/>
        </w:rPr>
        <w:t>АПШЕРОНСКОГО РАЙОНА</w:t>
      </w:r>
      <w:r>
        <w:br/>
      </w:r>
      <w:r>
        <w:br/>
      </w:r>
      <w:r>
        <w:rPr>
          <w:rStyle w:val="a4"/>
        </w:rPr>
        <w:t>ПОСТАНОВЛЕНИЕ</w:t>
      </w:r>
      <w:r>
        <w:br/>
      </w:r>
      <w:r>
        <w:br/>
      </w:r>
      <w:r>
        <w:rPr>
          <w:rStyle w:val="a4"/>
        </w:rPr>
        <w:t>от 30.01.2017 № 18</w:t>
      </w:r>
      <w:r>
        <w:br/>
      </w:r>
      <w:proofErr w:type="spellStart"/>
      <w:r>
        <w:rPr>
          <w:rStyle w:val="a4"/>
        </w:rPr>
        <w:t>г.Апшеронск</w:t>
      </w:r>
      <w:proofErr w:type="spellEnd"/>
      <w:r>
        <w:br/>
      </w:r>
      <w:r>
        <w:br/>
      </w:r>
      <w:r>
        <w:rPr>
          <w:rStyle w:val="a4"/>
        </w:rPr>
        <w:t>О внесении изменений в постановление администрации</w:t>
      </w:r>
      <w:r>
        <w:br/>
      </w:r>
      <w:r>
        <w:rPr>
          <w:rStyle w:val="a4"/>
        </w:rPr>
        <w:t>Апшеронского городского поселения Апшеронского района</w:t>
      </w:r>
      <w:r>
        <w:br/>
      </w:r>
      <w:r>
        <w:rPr>
          <w:rStyle w:val="a4"/>
        </w:rPr>
        <w:t>от 02 марта 2015 года № 90 «Об утверждении планов</w:t>
      </w:r>
      <w:r>
        <w:br/>
      </w:r>
      <w:r>
        <w:rPr>
          <w:rStyle w:val="a4"/>
        </w:rPr>
        <w:t>мероприятий («дорожные карты») «Изменения в отраслях</w:t>
      </w:r>
      <w:r>
        <w:br/>
      </w:r>
      <w:r>
        <w:rPr>
          <w:rStyle w:val="a4"/>
        </w:rPr>
        <w:t>социальной сферы Апшеронского городского поселения</w:t>
      </w:r>
      <w:r>
        <w:br/>
      </w:r>
      <w:r>
        <w:rPr>
          <w:rStyle w:val="a4"/>
        </w:rPr>
        <w:t>Апшеронского района, направленные на повышение</w:t>
      </w:r>
      <w:r>
        <w:br/>
      </w:r>
      <w:r>
        <w:rPr>
          <w:rStyle w:val="a4"/>
        </w:rPr>
        <w:t>эффективности сферы культуры»</w:t>
      </w:r>
    </w:p>
    <w:p w:rsidR="00FF0170" w:rsidRDefault="00FF0170" w:rsidP="00FF0170">
      <w:pPr>
        <w:pStyle w:val="a3"/>
        <w:jc w:val="both"/>
      </w:pPr>
      <w:r>
        <w:t>В целях актуализации плана мероприятий («дорожные карты») «Изменения в отраслях социальной сферы Апшеронского городского поселения Апшеронского района, направленные на повышение эффективности сферы культуры» п о с т а н о в л я ю:</w:t>
      </w:r>
      <w:r>
        <w:br/>
        <w:t xml:space="preserve">1. Внести изменения в постановление администрации Апшеронского городского поселения Апшеронского района от 02 марта 2015 года № 90 «Об утверждении планов мероприятий («дорожные карты») «Изменения в отраслях социальной сферы Апшеронского городского поселения Апшеронского района, направленные на повышение эффективности сферы </w:t>
      </w:r>
      <w:proofErr w:type="spellStart"/>
      <w:r>
        <w:t>культуры»,изложив</w:t>
      </w:r>
      <w:proofErr w:type="spellEnd"/>
      <w:r>
        <w:t xml:space="preserve"> подпункт 1 пункта 2 раздела 4 приложения № 1 «План мероприятий («дорожная карта») «Изменения в отраслях социальной сферы Апшеронского городского поселения Апшеронского района, направленные на повышение эффективности сферы культуры» в следующей редакции:</w:t>
      </w:r>
      <w:r>
        <w:br/>
        <w:t>«1) динамика роста средней заработной платы работников подведомственных учреждений культуры по сравнению с прошлым годом (процентов):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15"/>
        <w:gridCol w:w="1599"/>
        <w:gridCol w:w="1599"/>
        <w:gridCol w:w="1599"/>
        <w:gridCol w:w="1599"/>
        <w:gridCol w:w="1614"/>
      </w:tblGrid>
      <w:tr w:rsidR="00FF0170" w:rsidTr="00FF0170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 год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</w:t>
            </w:r>
          </w:p>
        </w:tc>
      </w:tr>
      <w:tr w:rsidR="00FF0170" w:rsidTr="00FF0170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116,4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119,2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103,0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115,1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120,0</w:t>
            </w:r>
          </w:p>
        </w:tc>
      </w:tr>
    </w:tbl>
    <w:p w:rsidR="00FF0170" w:rsidRDefault="00FF0170" w:rsidP="00FF0170">
      <w:pPr>
        <w:pStyle w:val="a3"/>
      </w:pPr>
      <w:r>
        <w:t>».</w:t>
      </w:r>
      <w:r>
        <w:br/>
        <w:t>2. Постановление администрации Апшеронского городского поселения Апшеронского района от 29 декабря 2016 года № 977 «О внесении изменений в постановление администрации Апшеронского городского поселения Апшеронского района от 02 марта 2015 года № 90 «Об утверждении планов мероприятий («дорожные карты») «Изменения в отраслях социальной сферы Апшеронского городского поселения Апшеронского района, направленные на повышение эффективности сферы культуры» признать утратившим силу.</w:t>
      </w:r>
      <w:r>
        <w:br/>
        <w:t>3.Отделу организационной работы администрации Апшеронского городского поселения Апшеронского района (</w:t>
      </w:r>
      <w:proofErr w:type="spellStart"/>
      <w:r>
        <w:t>Клепанева</w:t>
      </w:r>
      <w:proofErr w:type="spellEnd"/>
      <w:r>
        <w:t>) официально опубликовать настоящее постановление на сайте Апшеронского городского поселения Апшеронского района в установленном законом порядке.</w:t>
      </w:r>
      <w:r>
        <w:br/>
        <w:t xml:space="preserve">4.Контроль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>
        <w:t>Н.И.Покусаеву</w:t>
      </w:r>
      <w:proofErr w:type="spellEnd"/>
      <w:r>
        <w:t>.</w:t>
      </w:r>
      <w:r>
        <w:br/>
      </w:r>
      <w:r>
        <w:lastRenderedPageBreak/>
        <w:t xml:space="preserve">5.Постановление вступает в силу на следующий </w:t>
      </w:r>
      <w:proofErr w:type="spellStart"/>
      <w:r>
        <w:t>деньпосле</w:t>
      </w:r>
      <w:proofErr w:type="spellEnd"/>
      <w:r>
        <w:t xml:space="preserve"> его официального опубликования.</w:t>
      </w:r>
      <w:r>
        <w:br/>
      </w:r>
      <w:r>
        <w:br/>
      </w:r>
      <w:r>
        <w:br/>
      </w:r>
      <w:r>
        <w:br/>
        <w:t>Глава Апшеронского городского</w:t>
      </w:r>
      <w:r>
        <w:br/>
        <w:t>поселения Апшеронского района</w:t>
      </w:r>
      <w:r>
        <w:br/>
      </w:r>
      <w:proofErr w:type="spellStart"/>
      <w:r>
        <w:t>В.А.Бырлов</w:t>
      </w:r>
      <w:proofErr w:type="spellEnd"/>
    </w:p>
    <w:p w:rsidR="00FF0170" w:rsidRDefault="00FF0170" w:rsidP="00FF0170">
      <w:pPr>
        <w:pStyle w:val="a3"/>
        <w:jc w:val="right"/>
      </w:pPr>
      <w:r>
        <w:t>ПРИЛОЖЕНИЕ</w:t>
      </w:r>
    </w:p>
    <w:p w:rsidR="00FF0170" w:rsidRDefault="00FF0170" w:rsidP="00FF0170">
      <w:pPr>
        <w:pStyle w:val="a3"/>
        <w:jc w:val="right"/>
      </w:pPr>
      <w:r>
        <w:t>к постановлению администрации</w:t>
      </w:r>
    </w:p>
    <w:p w:rsidR="00FF0170" w:rsidRDefault="00FF0170" w:rsidP="00FF0170">
      <w:pPr>
        <w:pStyle w:val="a3"/>
        <w:jc w:val="right"/>
      </w:pPr>
      <w:r>
        <w:t>Апшеронского городского поселения</w:t>
      </w:r>
    </w:p>
    <w:p w:rsidR="00FF0170" w:rsidRDefault="00FF0170" w:rsidP="00FF0170">
      <w:pPr>
        <w:pStyle w:val="a3"/>
        <w:jc w:val="right"/>
      </w:pPr>
      <w:r>
        <w:t>Апшеронского района</w:t>
      </w:r>
    </w:p>
    <w:p w:rsidR="00FF0170" w:rsidRDefault="00FF0170" w:rsidP="00FF0170">
      <w:pPr>
        <w:pStyle w:val="a3"/>
        <w:jc w:val="right"/>
      </w:pPr>
      <w:r>
        <w:t>от _____________ №_________</w:t>
      </w:r>
    </w:p>
    <w:p w:rsidR="00FF0170" w:rsidRDefault="00FF0170" w:rsidP="00FF0170">
      <w:pPr>
        <w:pStyle w:val="a3"/>
        <w:jc w:val="right"/>
      </w:pPr>
      <w:r>
        <w:t>«ПРИЛОЖЕНИЕ №1</w:t>
      </w:r>
    </w:p>
    <w:p w:rsidR="00FF0170" w:rsidRDefault="00FF0170" w:rsidP="00FF0170">
      <w:pPr>
        <w:pStyle w:val="a3"/>
        <w:jc w:val="right"/>
      </w:pPr>
      <w:r>
        <w:t>УТВЕРЖДЕН</w:t>
      </w:r>
    </w:p>
    <w:p w:rsidR="00FF0170" w:rsidRDefault="00FF0170" w:rsidP="00FF0170">
      <w:pPr>
        <w:pStyle w:val="a3"/>
        <w:jc w:val="right"/>
      </w:pPr>
      <w:r>
        <w:t>постановлением администрации</w:t>
      </w:r>
    </w:p>
    <w:p w:rsidR="00FF0170" w:rsidRDefault="00FF0170" w:rsidP="00FF0170">
      <w:pPr>
        <w:pStyle w:val="a3"/>
        <w:jc w:val="right"/>
      </w:pPr>
      <w:r>
        <w:t>Апшеронского городского поселения</w:t>
      </w:r>
    </w:p>
    <w:p w:rsidR="00FF0170" w:rsidRDefault="00FF0170" w:rsidP="00FF0170">
      <w:pPr>
        <w:pStyle w:val="a3"/>
        <w:jc w:val="right"/>
      </w:pPr>
      <w:r>
        <w:t>Апшеронского района</w:t>
      </w:r>
    </w:p>
    <w:p w:rsidR="00FF0170" w:rsidRDefault="00FF0170" w:rsidP="00FF0170">
      <w:pPr>
        <w:pStyle w:val="a3"/>
        <w:jc w:val="right"/>
      </w:pPr>
      <w:r>
        <w:t>от 02 марта 2015 года №90</w:t>
      </w:r>
    </w:p>
    <w:p w:rsidR="00FF0170" w:rsidRDefault="00FF0170" w:rsidP="00FF0170">
      <w:pPr>
        <w:pStyle w:val="a3"/>
        <w:jc w:val="right"/>
      </w:pPr>
      <w:r>
        <w:t>(в редакции постановления</w:t>
      </w:r>
    </w:p>
    <w:p w:rsidR="00FF0170" w:rsidRDefault="00FF0170" w:rsidP="00FF0170">
      <w:pPr>
        <w:pStyle w:val="a3"/>
        <w:jc w:val="right"/>
      </w:pPr>
      <w:r>
        <w:t>администрации Апшеронского</w:t>
      </w:r>
    </w:p>
    <w:p w:rsidR="00FF0170" w:rsidRDefault="00FF0170" w:rsidP="00FF0170">
      <w:pPr>
        <w:pStyle w:val="a3"/>
        <w:jc w:val="right"/>
      </w:pPr>
      <w:r>
        <w:t>городского поселения Апшеронского района</w:t>
      </w:r>
    </w:p>
    <w:p w:rsidR="00FF0170" w:rsidRDefault="00FF0170" w:rsidP="00FF0170">
      <w:pPr>
        <w:pStyle w:val="a3"/>
        <w:jc w:val="right"/>
      </w:pPr>
      <w:r>
        <w:t>от___________ №___________ )</w:t>
      </w:r>
    </w:p>
    <w:p w:rsidR="00FF0170" w:rsidRDefault="00FF0170" w:rsidP="00FF0170">
      <w:pPr>
        <w:pStyle w:val="a3"/>
        <w:jc w:val="center"/>
      </w:pPr>
      <w:r>
        <w:br/>
      </w:r>
      <w:r>
        <w:br/>
      </w:r>
      <w:r>
        <w:rPr>
          <w:rStyle w:val="a4"/>
        </w:rPr>
        <w:t>ПЛАН</w:t>
      </w:r>
      <w:r>
        <w:br/>
      </w:r>
      <w:r>
        <w:rPr>
          <w:rStyle w:val="a4"/>
        </w:rPr>
        <w:t>мероприятий («дорожная карта») «Изменения в отраслях социальной сферы Апшеронского городского</w:t>
      </w:r>
      <w:r>
        <w:br/>
      </w:r>
      <w:r>
        <w:rPr>
          <w:rStyle w:val="a4"/>
        </w:rPr>
        <w:t>поселения Апшеронского района, направленные на повышение эффективности сферы культуры»</w:t>
      </w:r>
    </w:p>
    <w:p w:rsidR="00FF0170" w:rsidRDefault="00FF0170" w:rsidP="00FF0170">
      <w:pPr>
        <w:pStyle w:val="a3"/>
        <w:jc w:val="both"/>
      </w:pPr>
      <w:r>
        <w:t>I. Цели разработки «дорожной карты»</w:t>
      </w:r>
      <w:r>
        <w:br/>
      </w:r>
      <w:r>
        <w:br/>
        <w:t>Целями реализации плана мероприятий («дорожной карты») «Изменения в отраслях социальной сферы Апшеронского городского поселения Апшеронского района, направленные на повышение эффективности сферы культуры» (далее – «дорожная карта») являются:</w:t>
      </w:r>
      <w:r>
        <w:br/>
        <w:t>1) повышение эффективности муниципальных услуг в сфере культуры;</w:t>
      </w:r>
      <w:r>
        <w:br/>
        <w:t>2) установление механизмов зависимости уровня оплаты труда работников учреждений культуры от количества и качества предоставляемых населению муниципальных услуг;</w:t>
      </w:r>
      <w:r>
        <w:br/>
        <w:t>3) развитие и сохранение кадрового потенциала учреждений культуры;</w:t>
      </w:r>
      <w:r>
        <w:br/>
        <w:t>4) повышение престижности и привлекательности профессий в сфере культуры;</w:t>
      </w:r>
      <w:r>
        <w:br/>
        <w:t>5) сохранение культурного и исторического наследия Апшеронского городского поселения Апшеронского района, обеспечение доступа граждан к культурным ценностям и участию в культурной жизни, реализация творческого потенциала нации;</w:t>
      </w:r>
      <w:r>
        <w:br/>
        <w:t>6) создание благоприятных условий для устойчивого развития сферы культуры.</w:t>
      </w:r>
      <w:r>
        <w:br/>
      </w:r>
      <w:r>
        <w:rPr>
          <w:i/>
          <w:iCs/>
        </w:rPr>
        <w:br/>
      </w:r>
      <w:r>
        <w:t>II. Проведение структурных реформ в сфере культуры</w:t>
      </w:r>
      <w:r>
        <w:br/>
        <w:t>В рамках структурных реформ предусматривается:</w:t>
      </w:r>
      <w:r>
        <w:br/>
        <w:t>1) повышение качества и расширение спектра муниципальных услуг в сфере культуры;</w:t>
      </w:r>
      <w:r>
        <w:br/>
        <w:t>2) увеличение доступности к культурному продукту путем информатизации отрасли (создание электронных баз библиотек в информационно-телекоммуникационной сети «Интернет» (далее – сеть «Интернет»);</w:t>
      </w:r>
      <w:r>
        <w:br/>
        <w:t>3) формирование конкурентной среды в отрасли культуры путем расширения целевой поддержки творческих проектов организаций всех форм собственности;</w:t>
      </w:r>
      <w:r>
        <w:br/>
        <w:t>4) создание условий для творческой самореализации жителей Апшеронского городского поселения Апшеронского района;</w:t>
      </w:r>
      <w:r>
        <w:br/>
        <w:t>5) вовлечение населения поселения в создание и продвижение культурного продукта.</w:t>
      </w:r>
      <w:r>
        <w:br/>
      </w:r>
      <w:r>
        <w:br/>
        <w:t>III. Целевые показатели (индикаторы) развития сферы культуры и меры, обеспечивающие их достижение</w:t>
      </w:r>
      <w:r>
        <w:br/>
        <w:t>1. С ростом эффективности и качества оказываемых услуг будут достигнуты следующие целевые показатели (индикаторы):</w:t>
      </w:r>
      <w:r>
        <w:br/>
        <w:t>1) увеличение количества библиографических записей в электронных каталогах МКУК «ЦБС» Апшеронского городского поселения Апшеронского района (по сравнению с предыдущим годом) (процентов):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6"/>
        <w:gridCol w:w="1812"/>
        <w:gridCol w:w="1812"/>
        <w:gridCol w:w="1732"/>
        <w:gridCol w:w="1651"/>
        <w:gridCol w:w="1747"/>
      </w:tblGrid>
      <w:tr w:rsidR="00FF0170" w:rsidTr="00FF01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2,1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2,1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2,3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2,4</w:t>
            </w:r>
          </w:p>
        </w:tc>
      </w:tr>
    </w:tbl>
    <w:p w:rsidR="00FF0170" w:rsidRDefault="00FF0170" w:rsidP="00FF0170">
      <w:pPr>
        <w:pStyle w:val="a3"/>
      </w:pPr>
      <w:r>
        <w:t>2) увеличение количества представленных (во всех формах) зрителю предметов основного фонда МКУ «АИКМ» Апшеронского городского поселения Апшеронского района по отношению к 2012 году (единиц):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150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250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300</w:t>
            </w:r>
          </w:p>
        </w:tc>
      </w:tr>
    </w:tbl>
    <w:p w:rsidR="00FF0170" w:rsidRDefault="00FF0170" w:rsidP="00FF0170">
      <w:pPr>
        <w:pStyle w:val="a3"/>
      </w:pPr>
      <w:r>
        <w:br/>
        <w:t>3) посещаемость МКУ «АИКМ» Апшеронского городского поселения Апшеронского района (тысяч человек в год):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4,7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5,4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5,8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6,4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7,2</w:t>
            </w:r>
          </w:p>
        </w:tc>
      </w:tr>
    </w:tbl>
    <w:p w:rsidR="00FF0170" w:rsidRDefault="00FF0170" w:rsidP="00FF0170">
      <w:pPr>
        <w:pStyle w:val="a3"/>
      </w:pPr>
      <w:r>
        <w:br/>
        <w:t>4) увеличение числа участников клубных формирований в Апшеронском городском поселении Апшеронского района (по сравнению с предыдущим годом процентов):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0,6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0,3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0,9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1,0</w:t>
            </w:r>
          </w:p>
        </w:tc>
      </w:tr>
    </w:tbl>
    <w:p w:rsidR="00FF0170" w:rsidRDefault="00FF0170" w:rsidP="00FF0170">
      <w:pPr>
        <w:pStyle w:val="a3"/>
      </w:pPr>
      <w:r>
        <w:br/>
        <w:t>5) увеличение числа зрителей киносеансов (по сравнению с предыдущим годом процентов):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1,6</w:t>
            </w:r>
          </w:p>
        </w:tc>
      </w:tr>
    </w:tbl>
    <w:p w:rsidR="00FF0170" w:rsidRDefault="00FF0170" w:rsidP="00FF0170">
      <w:pPr>
        <w:pStyle w:val="a3"/>
      </w:pPr>
      <w:r>
        <w:br/>
        <w:t>6) повышение уровня удовлетворенности населения поселения качеством предоставления муниципальных услуг в сфере культуры (процентов):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48,0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50,0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55,0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64,0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79,0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90,0</w:t>
            </w:r>
          </w:p>
        </w:tc>
      </w:tr>
    </w:tbl>
    <w:p w:rsidR="00FF0170" w:rsidRDefault="00FF0170" w:rsidP="00FF0170">
      <w:pPr>
        <w:pStyle w:val="a3"/>
      </w:pPr>
      <w:r>
        <w:br/>
        <w:t>7) увеличение доли общедоступных библиотек, подключенных к сети «Интернет», в общем количестве муниципальных библиотек Апшеронского городского поселения Апшеронского района (процентов):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36"/>
        <w:gridCol w:w="1799"/>
        <w:gridCol w:w="1799"/>
        <w:gridCol w:w="1746"/>
        <w:gridCol w:w="1659"/>
        <w:gridCol w:w="1761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16,7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50,0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50,0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100,0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100,0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100,0</w:t>
            </w:r>
          </w:p>
        </w:tc>
      </w:tr>
    </w:tbl>
    <w:p w:rsidR="00FF0170" w:rsidRDefault="00FF0170" w:rsidP="00FF0170">
      <w:pPr>
        <w:pStyle w:val="a3"/>
      </w:pPr>
      <w:r>
        <w:rPr>
          <w:i/>
          <w:iCs/>
        </w:rPr>
        <w:br/>
      </w:r>
      <w:r>
        <w:t>8) увеличение количества выставок и выставочных проектов, осуществляемых МКУ «АИКМ» Апшеронского городского поселения Апшеронского района (процентов по отношению к 2012 году):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4,5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9,0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13,0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18,0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22,0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27,0</w:t>
            </w:r>
          </w:p>
        </w:tc>
      </w:tr>
    </w:tbl>
    <w:p w:rsidR="00FF0170" w:rsidRDefault="00FF0170" w:rsidP="00FF0170">
      <w:pPr>
        <w:pStyle w:val="a3"/>
      </w:pPr>
      <w:r>
        <w:br/>
        <w:t>9) увеличение доли детей, привлекаемых к участию в творческих мероприятиях, в общем числе детей (процентов):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15</w:t>
            </w:r>
          </w:p>
        </w:tc>
      </w:tr>
    </w:tbl>
    <w:p w:rsidR="00FF0170" w:rsidRDefault="00FF0170" w:rsidP="00FF0170">
      <w:pPr>
        <w:pStyle w:val="a3"/>
      </w:pPr>
      <w:r>
        <w:br/>
        <w:t>10) увеличение посещаемости учреждений культуры (процентов по отношению к 2012 году):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30</w:t>
            </w:r>
          </w:p>
        </w:tc>
      </w:tr>
    </w:tbl>
    <w:p w:rsidR="00FF0170" w:rsidRDefault="00FF0170" w:rsidP="00FF0170">
      <w:pPr>
        <w:pStyle w:val="a3"/>
      </w:pPr>
      <w:r>
        <w:br/>
        <w:t>11) увеличение количества предоставляемых дополнительных услуг учреждениями культуры (процентов по отношению к 2012 году):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2,0</w:t>
            </w:r>
          </w:p>
        </w:tc>
      </w:tr>
    </w:tbl>
    <w:p w:rsidR="00FF0170" w:rsidRDefault="00FF0170" w:rsidP="00FF017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br/>
        <w:t>Мерами, обеспечивающими достижение целевых показателей (индикаторов)</w:t>
      </w:r>
      <w:r>
        <w:br/>
        <w:t>развития сферы культуры, являются:</w:t>
      </w:r>
      <w:r>
        <w:br/>
        <w:t>1) создание механизма стимулирования работников учреждений культуры,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  <w:r>
        <w:br/>
        <w:t>2) достижение ежегодного роста заработной платы работников подведомственных учреждений культуры Апшеронского городского поселения Апшеронского района позволяет достигнуть уровень средней заработной платы труда работников культуры по Краснодарскому краю в целях реализации Указа Президента Российской Федерации от 7 мая 2012 года № 597 «О мероприятиях по реализации государственной социальной политики»;</w:t>
      </w:r>
      <w:r>
        <w:br/>
        <w:t>3) обновление квалификационных требований к работникам, переобучение, повышение квалификации, приток квалифицированных кадров, сохранение и развитие кадрового потенциала работников сферы культуры;</w:t>
      </w:r>
      <w:r>
        <w:br/>
        <w:t>4) оптимизация ресурсов.</w:t>
      </w:r>
      <w:r>
        <w:br/>
      </w:r>
      <w:r>
        <w:br/>
        <w:t>IV. Мероприятия по совершенствованию оплаты труда работников учреждений культуры</w:t>
      </w:r>
      <w:r>
        <w:br/>
      </w:r>
      <w:r>
        <w:br/>
        <w:t>1. Разработка и проведение мероприятий по совершенствованию оплаты труда работников учреждений культуры Апшеронского городского поселения Апшеронского района осуществляется с учетом мероприятий Плана по выполнению поручений и достижению целевых показателей социально-экономического развития, установленных отдельными указами Президента Российской Федерации, на территории Краснодарского края, утвержденного распоряжением главы администрации (губернатора) Краснодарского края от 29 ноября 2012 года № 1136-р «О мерах по реализации отдельных указов Президента Российской Федерации от 7 мая 2012 года на территории Краснодарского края».</w:t>
      </w:r>
      <w:r>
        <w:br/>
        <w:t>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рассматриваются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  <w:r>
        <w:br/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  <w:r>
        <w:br/>
      </w:r>
      <w:r>
        <w:br/>
        <w:t>1) динамика роста средней заработной платы работников подведомственных учреждений культуры по сравнению с прошлым годом (процентов):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65"/>
        <w:gridCol w:w="1750"/>
        <w:gridCol w:w="1749"/>
        <w:gridCol w:w="1749"/>
        <w:gridCol w:w="1749"/>
        <w:gridCol w:w="1738"/>
      </w:tblGrid>
      <w:tr w:rsidR="00FF0170" w:rsidTr="00FF0170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116,4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119,2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109,4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103,0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115,1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120,0</w:t>
            </w:r>
          </w:p>
        </w:tc>
      </w:tr>
    </w:tbl>
    <w:p w:rsidR="00FF0170" w:rsidRDefault="00FF0170" w:rsidP="00FF0170">
      <w:pPr>
        <w:pStyle w:val="a3"/>
      </w:pPr>
      <w:r>
        <w:br/>
        <w:t>2) оптимизация численности работников муниципальных учреждений культуры (по сравнению с прошлым годом (процентов):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65"/>
        <w:gridCol w:w="1750"/>
        <w:gridCol w:w="1749"/>
        <w:gridCol w:w="1749"/>
        <w:gridCol w:w="1749"/>
        <w:gridCol w:w="1738"/>
      </w:tblGrid>
      <w:tr w:rsidR="00FF0170" w:rsidTr="00FF0170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</w:t>
            </w:r>
          </w:p>
        </w:tc>
      </w:tr>
    </w:tbl>
    <w:p w:rsidR="00FF0170" w:rsidRDefault="00FF0170" w:rsidP="00FF0170">
      <w:pPr>
        <w:pStyle w:val="a3"/>
      </w:pPr>
      <w:r>
        <w:t>Данный показатель отражает оптимизацию численности работников административно-управленческого и вспомогательного персонала учреждений и введен в целях обеспечения достижения целевых показателей динамики средней заработной платы работников учреждений культуры.</w:t>
      </w:r>
      <w:r>
        <w:br/>
      </w:r>
      <w:r>
        <w:br/>
        <w:t>V. Основные мероприятия администрации Апшеронского городского поселения Апшеронского района,</w:t>
      </w:r>
      <w:r>
        <w:br/>
        <w:t>направленные на повышение эффективности и качества предоставляемых услуг в сфере культуры,</w:t>
      </w:r>
      <w:r>
        <w:br/>
        <w:t>связанные с переходом на эффективный контракт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478"/>
        <w:gridCol w:w="1955"/>
        <w:gridCol w:w="3067"/>
      </w:tblGrid>
      <w:tr w:rsidR="00FF0170" w:rsidTr="00FF0170">
        <w:trPr>
          <w:tblHeader/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Мероприятие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Срок исполнения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Ответственный исполнитель</w:t>
            </w:r>
          </w:p>
        </w:tc>
      </w:tr>
      <w:tr w:rsidR="00FF0170" w:rsidTr="00FF0170">
        <w:trPr>
          <w:tblHeader/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</w:t>
            </w:r>
          </w:p>
        </w:tc>
      </w:tr>
      <w:tr w:rsidR="00FF0170" w:rsidTr="00FF0170">
        <w:trPr>
          <w:tblCellSpacing w:w="15" w:type="dxa"/>
        </w:trPr>
        <w:tc>
          <w:tcPr>
            <w:tcW w:w="14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proofErr w:type="spellStart"/>
            <w:r>
              <w:t>I.Совершенствование</w:t>
            </w:r>
            <w:proofErr w:type="spellEnd"/>
            <w:r>
              <w:t xml:space="preserve"> системы оплаты труда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1.1. Разработка и утверждение подведомственными учреждениями культуры планов мероприятий по повышению эффективности деятельности учреждений в части оказания услуг (выполнения работ) на основе целевых показателей деятельности учреждений, совершенствованию оплаты труда, включая мероприятия по повышению оплаты труда соответствующей категории работников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с 2014 года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Администрация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1.2. Внедрение систем нормирования труда в муниципальных учреждениях культуры Апшеронского городского поселения Апшеронского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  <w:p w:rsidR="00FF0170" w:rsidRDefault="00FF0170">
            <w:pPr>
              <w:pStyle w:val="a3"/>
            </w:pPr>
            <w:r>
              <w:t>с 2015 года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района, руководители муниципальных учреждений культуры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 xml:space="preserve">1.3. Разработка (изменение)показателей деятельности муниципальных </w:t>
            </w:r>
            <w:proofErr w:type="spellStart"/>
            <w:r>
              <w:t>учрежденийкультуры</w:t>
            </w:r>
            <w:proofErr w:type="spellEnd"/>
            <w:r>
              <w:t xml:space="preserve"> Апшеронского городского поселения Апшеронского </w:t>
            </w:r>
            <w:proofErr w:type="spellStart"/>
            <w:r>
              <w:t>районаи</w:t>
            </w:r>
            <w:proofErr w:type="spellEnd"/>
            <w:r>
              <w:t xml:space="preserve"> их руководителей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1.4. Подготовка и направление в подведомственные муниципальные учреждения культуры Апшеронского городского поселения Апшеронского района рекомендаций по внесению изменений в муниципальные правовые акты в части совершенствования систем оплаты труда работников муниципальных учреждений культуры и достижения показателей повышения оплаты труда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постоянно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14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proofErr w:type="spellStart"/>
            <w:r>
              <w:t>II.Создание</w:t>
            </w:r>
            <w:proofErr w:type="spellEnd"/>
            <w:r>
              <w:t xml:space="preserve"> прозрачного механизма оплаты труда руководителей муниципальных учреждений культуры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2.1. Проведение работы по заключению трудовых договоров с руководителями подведомственных муниципальных учреждений культуры в соответствии с типовой формой договора, разработанной Министерством труда и Министерством культуры Российской Федерации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постоянно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2.2. Соблюдение установленных соотношений средней заработной платы руководителей учреждений культуры Апшеронского городского поселения Апшеронского района и средней заработной платы работников учреждений культуры поселения в кратности от 1 до 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14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proofErr w:type="spellStart"/>
            <w:r>
              <w:t>III.Развитие</w:t>
            </w:r>
            <w:proofErr w:type="spellEnd"/>
            <w:r>
              <w:t xml:space="preserve"> кадрового потенциала муниципальных учреждений культуры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3.1. Подготовка разъяснений, связанных с изменением (актуализацией) квалификационных требований к работникам учреждений культуры и внедрением профессиональных стандартов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– 2018 годы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3.2. Проведение мероприятий по повышению квалификации и переподготовке работников учреждений культуры с целью обеспечения соответствия работников современным квалификационным требованиям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– 2018 годы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Руководители подведомственных учреждений культуры, 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3.3. Организация работы по оптимизации штатных расписаний учреждений культуры Апшеронского городского поселения Апшеронского района, в том числе с учетом введения профессиональных стандартов, утвержденных типовых отраслевых норм труда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– 2018 годы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Руководители подведомственных учреждений культуры, 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3.4. Обеспечение дифференцированной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культуры Апшеронского городского поселения Апшеронского района, с учетом предельной доли расходов на оплату их труда в фонде оплаты труда муниципального учреждения культуры поселения – не более 40 процентов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Руководители подведомственных учреждений культуры, финансовый отдел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3.5. Обеспечение соотношения средней заработной платы основного персонала и вспомогательного персонала муниципальных учреждений культуры Апшеронского городского поселения Апшеронского района до 1:0,7-0,5 с учетом типа учреждения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Руководители подведомственных учреждений культуры, финансовый отдел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3.6. Подготовка информаций в Министерство культуры Краснодарского края об итогах внедрения «эффективного контракта» в учреждениях отрасли культуры Апшеронского городского поселения Апшеронского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14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proofErr w:type="spellStart"/>
            <w:r>
              <w:t>IV.Достижение</w:t>
            </w:r>
            <w:proofErr w:type="spellEnd"/>
            <w:r>
              <w:t xml:space="preserve"> целевых показателей повышения средней заработной платы работников учреждений культуры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4.1. Внесение предложений по уточнению объемов расходов бюджета Апшеронского городского поселения Апшеронского района на повышение заработной платы работников учреждений культуры с учетом возможного привлечения не менее одной трети средств, получаемых за счет оптимизации штатной численности учреждений, а также средств от приносящей доход деятельности учреждений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– 2018 годы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Финансовый отдел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4.2. Сбор и мониторинг отчетности о показателях заработной платы работников муниципальных учреждений культуры в соответствии с утвержденным Росстатом федеральным статистическим наблюдением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– 2018 годы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Финансовый отдел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4.3. Мониторинг реализации мероприятий по повышению оплаты труда работников муниципальных учреждений культуры Апшеронского городского поселения Апшеронского района в 2015 – 2018 годах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январь, июль</w:t>
            </w:r>
          </w:p>
          <w:p w:rsidR="00FF0170" w:rsidRDefault="00FF0170">
            <w:pPr>
              <w:pStyle w:val="a3"/>
            </w:pPr>
            <w:r>
              <w:t>2015 – 2018 годов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Финансовый отдел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4.4. Мониторинг выполнения мероприятий, направленных на повышение оплаты труда работников культуры в Апшеронском городском поселении Апшеронского района в 2015 – 2018 годах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январь, июль 2015 – 2018 годов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Финансовый отдел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4.5. Проведение предварительного анализа уровня и динамики заработной платы работников учреждений культуры поселения, повышение заработной платы которых предусмотрено Указам Президента Российской Федерации от 7 мая 2012 года № 597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ежеквартально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Финансовый отдел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4.6. Корректировка муниципальной программы Апшеронского городского поселения Апшеронского района «Развитие культуры» с целью приведения в соответствие включенных в нее показателей плана мероприятий («дорожной карты»)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  <w:p w:rsidR="00FF0170" w:rsidRDefault="00FF0170">
            <w:pPr>
              <w:pStyle w:val="a3"/>
            </w:pPr>
            <w:r>
              <w:t>с 2015 года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4.7. Информационное сопровождение программы поэтапного повышения заработной платы работников муниципальных учреждений культуры (проведение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– 2018 годы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4.8. Подготовка информации в отдел культуры администрации муниципального образования Апшеронский район о результатах повышения оплаты труда работников муниципальных учреждений культуры Апшеронского городского поселения Апшеронского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постоянно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Финансовый отдел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4.9. Проведение разъяснительной работы в трудовых коллективах с участием профсоюзных организаций о мероприятиях, реализуемы в рамках «дорожной карты», а также планов «дорожных карт» учреждений культуры поселения, в том числе о мерах повышения оплаты труда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района, руководители муниципальных учреждений культуры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4.10. Обеспечение предоставления форм статистического наблюдения за показателями заработной платы категорий работников, повышение оплаты труда которых предусмотрено Указам Президента Российской Федерации от 7 мая 2012 года № 597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ежеквартально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Финансовый отдел администрации Апшеронского городского поселения Апшеронского района, руководители муниципальных учреждений культуры</w:t>
            </w:r>
          </w:p>
        </w:tc>
      </w:tr>
      <w:tr w:rsidR="00FF0170" w:rsidTr="00FF0170">
        <w:trPr>
          <w:tblCellSpacing w:w="15" w:type="dxa"/>
        </w:trPr>
        <w:tc>
          <w:tcPr>
            <w:tcW w:w="14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proofErr w:type="spellStart"/>
            <w:r>
              <w:t>V.Формирование</w:t>
            </w:r>
            <w:proofErr w:type="spellEnd"/>
            <w:r>
              <w:t xml:space="preserve"> независимой оценки качества работы муниципальных учреждений культуры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5.1. Обеспечение функционирования независимой системы оценки качества работы муниципальных учреждений культуры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района, руководители муниципальных учреждений культуры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5.2. Обеспечение работы по реализации независимой системы оценки качества работы муниципальных учреждений культуры с участием общественных организаций, общественных советов по проведению независимой оценке качества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5.3. Обеспечение информационной открытости мероприятий и результатов проведения независимой оценки качества работы учреждений культуры, в том числе размещение информации о деятельности учреждений в сети «Интернет»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5.4. Проведение информационной кампании, в том числе в сети «Интернет» о функционировании независимой оценки качества работы учреждений культуры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</w:tbl>
    <w:p w:rsidR="00FF0170" w:rsidRDefault="00FF0170" w:rsidP="00FF0170">
      <w:pPr>
        <w:pStyle w:val="a3"/>
      </w:pPr>
      <w:r>
        <w:br/>
      </w:r>
      <w:r>
        <w:br/>
        <w:t>Заместитель главы</w:t>
      </w:r>
      <w:r>
        <w:br/>
        <w:t>Апшеронского городского</w:t>
      </w:r>
      <w:r>
        <w:br/>
        <w:t>поселения Апшеронского района</w:t>
      </w:r>
      <w:r>
        <w:br/>
      </w:r>
      <w:proofErr w:type="spellStart"/>
      <w:r>
        <w:t>Н.И.Покусаева</w:t>
      </w:r>
      <w:proofErr w:type="spellEnd"/>
    </w:p>
    <w:p w:rsidR="00814BF4" w:rsidRPr="00FF0170" w:rsidRDefault="00E935E2" w:rsidP="00FF0170">
      <w:bookmarkStart w:id="0" w:name="_GoBack"/>
      <w:bookmarkEnd w:id="0"/>
    </w:p>
    <w:sectPr w:rsidR="00814BF4" w:rsidRPr="00FF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6CD3"/>
    <w:multiLevelType w:val="multilevel"/>
    <w:tmpl w:val="6C161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044B60"/>
    <w:rsid w:val="000505F2"/>
    <w:rsid w:val="001F476C"/>
    <w:rsid w:val="00234397"/>
    <w:rsid w:val="00245D84"/>
    <w:rsid w:val="002525AA"/>
    <w:rsid w:val="002F5E78"/>
    <w:rsid w:val="003B7937"/>
    <w:rsid w:val="003C0F85"/>
    <w:rsid w:val="00403708"/>
    <w:rsid w:val="00413559"/>
    <w:rsid w:val="00562742"/>
    <w:rsid w:val="005B0170"/>
    <w:rsid w:val="00653578"/>
    <w:rsid w:val="006D6B4F"/>
    <w:rsid w:val="00822093"/>
    <w:rsid w:val="00836EEB"/>
    <w:rsid w:val="00841F05"/>
    <w:rsid w:val="00894CEB"/>
    <w:rsid w:val="009D5C30"/>
    <w:rsid w:val="00A45D21"/>
    <w:rsid w:val="00A72149"/>
    <w:rsid w:val="00A7584A"/>
    <w:rsid w:val="00B41D40"/>
    <w:rsid w:val="00C06925"/>
    <w:rsid w:val="00C41A72"/>
    <w:rsid w:val="00CA2AFE"/>
    <w:rsid w:val="00E05305"/>
    <w:rsid w:val="00E2703B"/>
    <w:rsid w:val="00E84DB9"/>
    <w:rsid w:val="00E935E2"/>
    <w:rsid w:val="00F541D0"/>
    <w:rsid w:val="00FA4EA1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FF01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FF0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3052</Words>
  <Characters>17401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Microsoft</Company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2018-08-14T11:59:00Z</dcterms:created>
  <dcterms:modified xsi:type="dcterms:W3CDTF">2018-08-14T11:59:00Z</dcterms:modified>
</cp:coreProperties>
</file>