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КРАСНОДАРСКИЙ КРАЙ</w:t>
      </w: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АПШЕРОНСКИЙ РАЙОН</w:t>
      </w: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СОВЕТ АПШЕРОНСКОГО ГОРОДСКОГО ПОСЕЛЕНИЯ</w:t>
      </w: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 РАЙОНА</w:t>
      </w: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РЕШЕНИЕ</w:t>
      </w: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 xml:space="preserve">02 декабря 2021 года              </w:t>
      </w:r>
      <w:r>
        <w:rPr>
          <w:rFonts w:ascii="Arial" w:hAnsi="Arial" w:cs="Arial"/>
          <w:sz w:val="24"/>
          <w:szCs w:val="24"/>
        </w:rPr>
        <w:t xml:space="preserve">                № 138</w:t>
      </w:r>
      <w:bookmarkStart w:id="0" w:name="_GoBack"/>
      <w:bookmarkEnd w:id="0"/>
      <w:r w:rsidRPr="00D4481D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D4481D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A53FF0" w:rsidRPr="00D4481D" w:rsidRDefault="00A53FF0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C2B" w:rsidRPr="00D4481D" w:rsidRDefault="00C60C2B" w:rsidP="00D4481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4481D">
        <w:rPr>
          <w:rFonts w:ascii="Arial" w:hAnsi="Arial" w:cs="Arial"/>
          <w:b/>
          <w:sz w:val="32"/>
          <w:szCs w:val="24"/>
        </w:rPr>
        <w:t>Об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утверждении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Положения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о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муниципальном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контроле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на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автомобильном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транспорте,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городском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наземном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электрическом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транспорте </w:t>
      </w:r>
      <w:r w:rsidRPr="00D4481D">
        <w:rPr>
          <w:rFonts w:ascii="Arial" w:hAnsi="Arial" w:cs="Arial"/>
          <w:b/>
          <w:sz w:val="32"/>
          <w:szCs w:val="24"/>
        </w:rPr>
        <w:t>и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в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дорожном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хозяйстве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в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границах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населенных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пунктов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Апшеронского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городского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поселения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Апшеронского</w:t>
      </w:r>
      <w:r w:rsidR="00CC2D8E" w:rsidRPr="00D4481D">
        <w:rPr>
          <w:rFonts w:ascii="Arial" w:hAnsi="Arial" w:cs="Arial"/>
          <w:b/>
          <w:sz w:val="32"/>
          <w:szCs w:val="24"/>
        </w:rPr>
        <w:t xml:space="preserve"> </w:t>
      </w:r>
      <w:r w:rsidRPr="00D4481D">
        <w:rPr>
          <w:rFonts w:ascii="Arial" w:hAnsi="Arial" w:cs="Arial"/>
          <w:b/>
          <w:sz w:val="32"/>
          <w:szCs w:val="24"/>
        </w:rPr>
        <w:t>района</w:t>
      </w:r>
    </w:p>
    <w:p w:rsidR="00C60C2B" w:rsidRDefault="00C60C2B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81D" w:rsidRPr="00D4481D" w:rsidRDefault="00D4481D" w:rsidP="00D4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14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от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06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октября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2003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года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№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131-ФЗ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принципах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самоуправления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08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ноября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2007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257-ФЗ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внесении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изменений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отдельные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от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31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июля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2020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года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№</w:t>
      </w:r>
      <w:r w:rsidR="00CC2D8E"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4481D">
        <w:rPr>
          <w:rStyle w:val="a6"/>
          <w:rFonts w:ascii="Arial" w:hAnsi="Arial" w:cs="Arial"/>
          <w:color w:val="auto"/>
          <w:sz w:val="24"/>
          <w:szCs w:val="24"/>
          <w:u w:val="none"/>
        </w:rPr>
        <w:t>248-ФЗ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решил</w:t>
      </w:r>
      <w:r w:rsidRPr="00D4481D">
        <w:rPr>
          <w:rFonts w:ascii="Arial" w:hAnsi="Arial" w:cs="Arial"/>
          <w:sz w:val="24"/>
          <w:szCs w:val="24"/>
        </w:rPr>
        <w:t>: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(прилагается).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Отделу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организационно-кадровой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(Клепанева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И.В.)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опубликовать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газете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«Апшеронский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рабочий»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разместить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сайте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«Интернет».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выполнением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возложить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постоянную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комиссию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самоуправления,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политике,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взаимоотношениям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общественными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политическими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партиями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</w:t>
      </w:r>
      <w:proofErr w:type="spellStart"/>
      <w:r w:rsidRPr="00D4481D">
        <w:rPr>
          <w:rFonts w:ascii="Arial" w:hAnsi="Arial" w:cs="Arial"/>
          <w:sz w:val="24"/>
          <w:szCs w:val="24"/>
        </w:rPr>
        <w:t>Петришин</w:t>
      </w:r>
      <w:proofErr w:type="spellEnd"/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В.К.)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Курганова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А.Н.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вступает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силу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опубликования,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января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2022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года.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Председатель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Совета</w:t>
      </w:r>
    </w:p>
    <w:p w:rsidR="00CC2D8E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CC2D8E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А.Ю.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Блажко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2D8E" w:rsidRPr="00D4481D" w:rsidRDefault="00CC2D8E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2D8E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Глава</w:t>
      </w:r>
    </w:p>
    <w:p w:rsidR="00CC2D8E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CC2D8E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C60C2B" w:rsidRPr="00D4481D" w:rsidRDefault="00C60C2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А.Н.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Курганов</w:t>
      </w:r>
    </w:p>
    <w:p w:rsidR="00CC2D8E" w:rsidRPr="00D4481D" w:rsidRDefault="00CC2D8E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2D8E" w:rsidRPr="00D4481D" w:rsidRDefault="00CC2D8E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2D8E" w:rsidRPr="00D4481D" w:rsidRDefault="00CC2D8E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6F4B" w:rsidRPr="00D4481D" w:rsidRDefault="007E6F4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Приложение</w:t>
      </w:r>
    </w:p>
    <w:p w:rsidR="007E6F4B" w:rsidRPr="00D4481D" w:rsidRDefault="007E6F4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УТВЕРЖДЕНО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7E6F4B" w:rsidRPr="00D4481D" w:rsidRDefault="007E6F4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решением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7E6F4B" w:rsidRPr="00D4481D" w:rsidRDefault="007E6F4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7E6F4B" w:rsidRPr="00D4481D" w:rsidRDefault="007E6F4B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7E6F4B" w:rsidRPr="00D4481D" w:rsidRDefault="00A53FF0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02.12.2021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138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AC4590" w:rsidRPr="00D4481D" w:rsidRDefault="00AC4590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272E" w:rsidRPr="00D4481D" w:rsidRDefault="006F272E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481D">
        <w:rPr>
          <w:rFonts w:ascii="Arial" w:hAnsi="Arial" w:cs="Arial"/>
          <w:b/>
          <w:sz w:val="24"/>
          <w:szCs w:val="24"/>
        </w:rPr>
        <w:t>ПОЛОЖЕНИЕ</w:t>
      </w: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481D">
        <w:rPr>
          <w:rFonts w:ascii="Arial" w:hAnsi="Arial" w:cs="Arial"/>
          <w:b/>
          <w:sz w:val="24"/>
          <w:szCs w:val="24"/>
        </w:rPr>
        <w:t>о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контроле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на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городском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наземном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и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в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дорожном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хозяйстве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в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границах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пунктов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поселения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b/>
          <w:sz w:val="24"/>
          <w:szCs w:val="24"/>
        </w:rPr>
        <w:t xml:space="preserve"> </w:t>
      </w:r>
      <w:r w:rsidRPr="00D4481D">
        <w:rPr>
          <w:rFonts w:ascii="Arial" w:hAnsi="Arial" w:cs="Arial"/>
          <w:b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1.Общие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устанавливает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юридическими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физическими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области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эксплуатации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сервиса,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размещенных</w:t>
      </w:r>
      <w:r w:rsidR="003C756D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полосах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отвода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придорожных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полосах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пользования;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б)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капитальному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ремонту,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="003C756D" w:rsidRPr="00D4481D">
        <w:rPr>
          <w:rFonts w:ascii="Arial" w:hAnsi="Arial" w:cs="Arial"/>
          <w:sz w:val="24"/>
          <w:szCs w:val="24"/>
        </w:rPr>
        <w:t>ремонту 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искусственных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сооружений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(включая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дорожно-строительным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изделиям)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сохранности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дорог;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перевозок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маршрутам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регулярных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перевозок,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области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регулярных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перевозок;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Предметом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являются: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1.3.1.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соблюдаться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требования,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предъявляемые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осуществляющим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1.3.2.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1.3.3.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строения,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сооружения,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территории,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земельные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участки,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владеют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пользуются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создания: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единого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(подсистемы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системы)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межведомственного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июля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2020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ведется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администрацией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Непосредственное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возлагается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отдел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постановлением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специалисты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отдела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реализуют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несут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соблюдают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ограничения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запреты,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июля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1.8.1.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обязано: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интересы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своевременно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полномочия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предупреждению,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пресечению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вплоть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подготовки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предложений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принудительном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назначением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соответствующей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удостоверения,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законами;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проявление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неуважения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богослужений,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религиозных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обрядов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церемоний,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препятствовать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внутренние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религиозных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препятствовать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Президенте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защите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защите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Краснодарском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требуется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3.3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6)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присутствующим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7)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знакомить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8)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знакомить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межведомственного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относящимися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9)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учитывать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тяжести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потенциальной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опасности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необоснованного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ограничения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интересов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неправомерного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имуществу;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10)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доказывать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обоснованность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распоряжении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самоуправления.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1.8.2.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пределах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полномочий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беспрепятственно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удостоверения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полномочиями,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посещать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(осматривать)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законами;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знакомиться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всеми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касающимися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государственную,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служебную,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коммерческую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тайну;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работников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копирования,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видеосъемки;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знакомиться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технической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документацией,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электронными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базами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относящейся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несвоевременного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запрошенных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работников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ограничения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доступа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воспрепятствования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6)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рекомендации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предотвращению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восстановлении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7)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обращаться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февраля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2011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полиции»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содействием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полиции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противодействие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угрожает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опасность.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применяются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(надзорных)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инфраструктуры,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обеспечивающей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информационно-технологическое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функций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через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«Единый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портал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(функций)»(далее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портал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через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региональный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портал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определяющего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выбор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проверяемых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интенсивность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постоянной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мониторинг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(сбор,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обработка,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анализ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риска):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значительный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средний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умеренный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низкий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Критерии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ежегодно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сопоставления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характеристик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критериями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индикатором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отклонение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параметров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себе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высокой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степенью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вероятности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свидетельствуют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2.5.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Перечень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индикаторов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проверяемых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считается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низкого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критериям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изменении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критериев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изменении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3C756D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информирование;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заинтересованных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3.1.1.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заинтересованных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сайте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«Интернет»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сайт),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массовой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через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личные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кабинеты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формах.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3.1.2.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ежегодно.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подготовку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доклада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доклад).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публичное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обсуждение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доклада.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Доклад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сайте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ежегодно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января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обобщения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правоприменительной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практики.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недопустимости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недопустимости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готовящихся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признаках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отсутствия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подтверждённых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причинило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создало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предлагает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приказом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Минэкономразвития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марта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151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типовых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(надзорным)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органом».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десяти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3.2.4.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содержать: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юридического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фамилию,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(последнее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(номера)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контактного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телефона,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адрес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(адреса)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почты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почтовый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адрес,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ответ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доводы,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объявленным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предостережением;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6)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личную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подпись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дату.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доводов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прилагает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заверенные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рассматривает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пятнадцати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удовлетворяет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отказывает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удовлетворении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информирует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Повторное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3.2.10.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недопустимости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периодичности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разъяснений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телефону,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видео-конференц-связи,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личном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приеме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официальном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сайте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разъяснения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однотипным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однотипных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подписанного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личном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приеме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каждого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заявителя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минут.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Время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разговора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телефону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минут.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3.3.5.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компетенция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Положением;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применение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ответственности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ответа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2006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59-ФЗ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3.3.7.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консультирований.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беседы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видео-конференц-связи.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Продолжительность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двух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приступающих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сфере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начала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начале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значительного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отказаться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(включая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уведомив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3.4.6.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визитов.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наблюдение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являются: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встречи,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телефонные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переговоры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(непосредственное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между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запрос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присутствие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общедоступных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объектах).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параметрам,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индикаторами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отклонения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параметров;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наступление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Президента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Правительства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конкретных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прокурора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надзора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свобод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человека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поступившим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95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заданий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задания,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привлекаемыми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осмотр;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опрос;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экспертиза.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предусматривающего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подписанное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указываются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64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требуется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абзацем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первым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привлекает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аттестованные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привлекаемых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предусматривающего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приказом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Минэкономразвития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31.03.2021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151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типовых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(надзорным)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органом».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указывается,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какое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именно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каким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нормативным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правовым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единицей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предусматривающего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доказательствами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приобщаются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акту.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Заполненные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проверочные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листы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приобщены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акту.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Правительством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составляющую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государственную,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коммерческую,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служебную,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тайну,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4.1.11.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несогласия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выводами,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изложенными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(надзорного)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разделом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пределах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полномочий,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разумных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шести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месяцев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предотвращению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незамедлительно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недопущению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прекращению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вплоть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запрете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эксплуатации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(использования)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строений,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сооружений,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оборудования,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подобных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любым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доступным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способом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способах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предотвращения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владеющих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пользующихся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эксплуатация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(использование)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строений,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сооружений,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оборудования,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подобных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производимые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реализуемые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товары,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выполняемые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оказываемые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непосредственную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признаков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возбудить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Кодексом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правонарушениях;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предупреждению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предотвращению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вплоть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принудительном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выдаче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рекомендации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профилактику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истечения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истечении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4.2.1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истечения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(мониторинга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(надзорный)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(мониторинга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сделать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вывод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оценивает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4.2.7.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4.2.6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будет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ненадлежащим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образом,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вновь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4.2.1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вплоть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принудительном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4.3.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4.3.1.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очередной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календарный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ежегодный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подлежащего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4.3.2.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периодичность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соразмерно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4.3.3.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рейдовый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документарная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значительного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проводятся: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четыре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(надзорного)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среднего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проводятся: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шесть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умеренного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проводятся: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шесть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отнесенного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низкого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4.4.1.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проверок,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4.4.2.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индикаторов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4.4.3.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4.4.4.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понимается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исключительно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устанавливающих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организационно-правовую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(надзорного)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достоверность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распоряжении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вызывает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обоснованные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сомнения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позволяют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адрес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десяти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десять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ошибок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противоречий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содержащимся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пояснений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Перечень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81D">
        <w:rPr>
          <w:rFonts w:ascii="Arial" w:hAnsi="Arial" w:cs="Arial"/>
          <w:sz w:val="24"/>
          <w:szCs w:val="24"/>
        </w:rPr>
        <w:t>допустимых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proofErr w:type="gramEnd"/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73716001"/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документов;</w:t>
      </w:r>
      <w:bookmarkEnd w:id="1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(направить)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баз,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банков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носителей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незамедлительно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ходатайством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Доступ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базам,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банкам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носителям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логина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запрошены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свидетелей.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Указанные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свободной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двух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Письменные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свободной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собственноручно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работников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свидетелей.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знакомятся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дополняют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текст,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делают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отметку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записал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верно,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подписывают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указывая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поручению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Экспертиза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филиалов,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обособленных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подразделений)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непосредственно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Время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зависит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устанавливается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каждом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конкретном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соглашению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между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Результаты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4.5.10.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документарная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филиалов,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обособленных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подразделений).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дистанционного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видеосвязи.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возможным: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удостовериться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достоверности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находящихся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распоряжении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запрашиваемых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принадлежащих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4.6.1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66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двадцать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четыре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начала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предъявляет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представителю)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удостоверение,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сообщает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десяти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малого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предпринимательства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пятьдесят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малого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пятнадцать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микропредприятия.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Перечень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допустимых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Hlk73715973"/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осмотр;</w:t>
      </w:r>
      <w:bookmarkEnd w:id="2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применением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протокол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понимается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заключающееся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располагающих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Результаты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фиксируются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протоколе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подписывается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опрашиваемым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подтверждающим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достоверность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изложенных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фиксации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доказательств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способы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фиксации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доказательств.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Фиксация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доказательств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помощи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двумя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снимками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каждого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Использование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фиксации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доказательств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защите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тайны.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4.5.5,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4.5.6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4.5.7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окончании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Информация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фотосъемки,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отражается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оформлении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дистанционного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видеосвязи,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абзацем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вторым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применяются.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оказалось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отсутствием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фактическим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неосуществлением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связи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повлекшими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информирует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невозможности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любое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завершения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4.6.14.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являющиеся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временной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нетрудоспособности;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вызову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(извещениям,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повесткам)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правоохранительных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комиссариатов;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избрания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Уголовно-процессуальным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кодексом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пресечения,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исключающей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присутствия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командировке.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переносится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обстоятельств,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послуживших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поводом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индивидуального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предпринимателя,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филиалов,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обособленных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подразделений)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предварительного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собственника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Контролируемые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беспрепятственный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доступ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сооружения,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(территории)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один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день.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Перечень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допустимых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визита: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Hlk73715943"/>
      <w:r w:rsidRPr="00D4481D">
        <w:rPr>
          <w:rFonts w:ascii="Arial" w:hAnsi="Arial" w:cs="Arial"/>
          <w:sz w:val="24"/>
          <w:szCs w:val="24"/>
        </w:rPr>
        <w:t>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осмотр;</w:t>
      </w:r>
      <w:bookmarkEnd w:id="3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б)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г)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филиалов,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обособленных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подразделений)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дистанционного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посредством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аудио-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видеосвязи.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инспекционный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визит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66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любого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владение,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управление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один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день.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Перечень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допустимых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73715920"/>
      <w:r w:rsidRPr="00D4481D">
        <w:rPr>
          <w:rFonts w:ascii="Arial" w:hAnsi="Arial" w:cs="Arial"/>
          <w:sz w:val="24"/>
          <w:szCs w:val="24"/>
        </w:rPr>
        <w:t>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осмотр;</w:t>
      </w:r>
      <w:bookmarkEnd w:id="4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б)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опрос;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письменных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объяснений;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г)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истребование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экспертиза.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владеют,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пользуются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управляют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объектами,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обеспечить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беспрепятственный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доступ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все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жилых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помещений).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каждого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допустившего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Рейдовый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согласованию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прокуратуры,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66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4.7.9.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4.7.2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4.7.5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4.5.5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4.5.7,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4.6.8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4.6.10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(мониторинг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4.8.1.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(мониторинге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сбор,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анализ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поступают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межведомственного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предоставляются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системах,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«Интернет»,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общедоступных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работающих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автоматическом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режиме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технических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средств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фиксации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функции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фото-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киносъемки,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видеозаписи.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4.8.2.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(мониторинга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безопасности)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возникновения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(ущерба)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охраняемым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ценностям,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готовящихся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признаках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60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объявлении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предостережения;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выдаче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90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закрепленное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90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4.9.1.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оценки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соблюдения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4.9.2.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филиалов,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представительств,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обособленных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подразделений),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общедоступных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(открытых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неограниченным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кругом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производственных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осуществляться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осмотр.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4.9.3.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проводится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информирования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(нескольких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расположенных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непосредственной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близости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друга)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превышать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один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день,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4.9.4.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выездного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обследования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подпунктами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4.2.1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интересы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мнению,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непосредственно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имеют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(далее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–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лица):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рассматривается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(заместителем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тридцати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календарных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когда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узнало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узнать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прав.</w:t>
      </w:r>
      <w:bookmarkStart w:id="5" w:name="Par375"/>
      <w:bookmarkEnd w:id="5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десяти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5.4.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пропуска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уважительной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подачи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ходатайству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восстановлен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органом.</w:t>
      </w:r>
      <w:bookmarkStart w:id="6" w:name="Par377"/>
      <w:bookmarkEnd w:id="6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отозвать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частично.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повторное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ходатайство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  <w:bookmarkStart w:id="7" w:name="Par379"/>
      <w:bookmarkEnd w:id="7"/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(заместителем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двух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регистрации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Информация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  <w:r w:rsidRPr="00D4481D">
        <w:rPr>
          <w:rFonts w:ascii="Arial" w:hAnsi="Arial" w:cs="Arial"/>
          <w:sz w:val="24"/>
          <w:szCs w:val="24"/>
        </w:rPr>
        <w:t>5.8.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содержать: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фамилию,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обжалуются;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фамилию,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жительства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гражданина,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нахождения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этой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реквизиты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доверенности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фамилию,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доверенности,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желаемый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способ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взаимодействия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время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желаемый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способ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привести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доводы,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согласно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(бездействием)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могут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наличии),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подтверждающие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доводы,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копии;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6)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учетный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номер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реестре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(надзорных)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Правительством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иное.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390"/>
      <w:bookmarkEnd w:id="9"/>
      <w:r w:rsidRPr="00D4481D">
        <w:rPr>
          <w:rFonts w:ascii="Arial" w:hAnsi="Arial" w:cs="Arial"/>
          <w:sz w:val="24"/>
          <w:szCs w:val="24"/>
        </w:rPr>
        <w:t>5.9.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нецензурные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оскорбительные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выражения,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жизни,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здоровью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имуществу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членов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семей.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Подача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полномочным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делегирования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соответствующего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помощью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«Единая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идентификации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аутентификации».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если: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истечения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подачи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5.3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ходатайства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восстановлении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пропущенного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подачу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удовлетворении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ходатайства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восстановлении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пропущенного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подачу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отказано;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подавшего,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поступило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заявление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отзыве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имеется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вопросам,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поставленным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другая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6)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нецензурные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оскорбительные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выражения,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угрозы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жизни,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здоровью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имуществу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также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членов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семей;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7)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исключающий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возможность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повторного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обращения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жалобой,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приводятся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доводы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обстоятельства;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8)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ненадлежащий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9)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предусмотрен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только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судебный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основаниям,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подпунктах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3-8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5.12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lastRenderedPageBreak/>
        <w:t>обжалования,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5.13.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использует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(надзорной)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Правилами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информационной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системы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досудебного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обжалования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(надзорной)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деятельности,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утверждёнными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Правительством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5.14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подлежит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(заместителем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регистрации.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5.15.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может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продлен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двадцать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исключительных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случаях: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служебной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проверки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фактам,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отсутствие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обжалуются,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уважительной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причине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(болезнь,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отпуск,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командировка).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запросить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дополнительную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запроса.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Течение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приостанавливается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запроса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дополнительной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получения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уполномоченным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более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пять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момента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запроса.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Неполучение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дополнительной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относящихся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является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отказа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5.17.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допускается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запрашивать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информацию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находятся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распоряжении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самоуправления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либо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подведомственным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организаций.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Лицо,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подавшее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итогового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вправе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своему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усмотрению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представить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дополнительные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материалы,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относящиеся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предмету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5.18.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доказывания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обоснованности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совершенного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возлагается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5.19.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итогам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рассмотрения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(заместитель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руководителя)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оставляет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без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удовлетворения;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частично;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3)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отменяет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полностью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принимает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новое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4)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признает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незаконными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выносит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существу,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необходимости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определенных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действий.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5.20.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содержащее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размещается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личном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кабинете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портале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региональном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портале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услуг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позднее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одного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рабочего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дня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принятия.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6.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Ключевые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вида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Ключевые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bookmarkStart w:id="10" w:name="_Hlk73956884"/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индикативные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  <w:bookmarkEnd w:id="10"/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настоящему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Исполняющий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заместителя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3C756D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К.Г.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Чайка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КРИТЕРИИ</w:t>
      </w: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отнесения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объектов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категориям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3C756D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3C7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664"/>
        <w:gridCol w:w="2168"/>
      </w:tblGrid>
      <w:tr w:rsidR="00D4481D" w:rsidRPr="00D4481D" w:rsidTr="003C756D">
        <w:tc>
          <w:tcPr>
            <w:tcW w:w="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3C756D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№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847" w:rsidRPr="00D4481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автомобильном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наземном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электрическом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дорожном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хозяйстве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</w:tr>
      <w:tr w:rsidR="00D4481D" w:rsidRPr="00D4481D" w:rsidTr="003C756D">
        <w:tc>
          <w:tcPr>
            <w:tcW w:w="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вступившего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законную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силу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трех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лет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дату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постановления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назначении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наказания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юридическому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лицу,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его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индивидуальному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предпринимателю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за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правонарушения,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связанного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исполнению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(соблюдению)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контролируемыми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осуществлении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автомобильном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наземном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электрическом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дорожном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хозяйстве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Значительный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D4481D" w:rsidRPr="00D4481D" w:rsidTr="003C756D">
        <w:tc>
          <w:tcPr>
            <w:tcW w:w="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трех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лет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дату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lastRenderedPageBreak/>
              <w:t>юридического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предписания,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исполненного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срок,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установленный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предписанием,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выданным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факту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несоблюдения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исполнению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(соблюдению)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контролируемыми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осуществлении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автомобильном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наземном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электрическом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дорожном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хозяйстве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lastRenderedPageBreak/>
              <w:t>Средний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D4481D" w:rsidRPr="00D4481D" w:rsidTr="003C756D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пяти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лет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дату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предписания,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итогам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плановой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внеплановой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проверки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факту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за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исполнению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(соблюдению)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контролируемыми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лицами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осуществлении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автомобильном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наземном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электрическом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транспорте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дорожном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хозяйстве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Умеренный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537847" w:rsidRPr="00D4481D" w:rsidTr="003C756D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обстоятельств,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пунктах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1,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2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3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настоящих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Критериев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отнесения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предпринимателей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категориям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Низкий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</w:tbl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Исполняющий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заместителя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3C756D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К.Г.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Чайка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756D" w:rsidRPr="00D4481D" w:rsidRDefault="003C756D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ПЕРЕЧЕНЬ</w:t>
      </w:r>
    </w:p>
    <w:p w:rsidR="00537847" w:rsidRPr="00D4481D" w:rsidRDefault="00537847" w:rsidP="003C75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индикаторов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риска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проверяемых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рамках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27"/>
        <w:gridCol w:w="4216"/>
      </w:tblGrid>
      <w:tr w:rsidR="00D4481D" w:rsidRPr="00D4481D" w:rsidTr="003C756D"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Нормальное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для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выбранного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параметра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(критерии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оценки),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измерения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3C756D" w:rsidP="003C7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Показатель индикатора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847" w:rsidRPr="00D4481D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</w:tr>
      <w:tr w:rsidR="00D4481D" w:rsidRPr="00D4481D" w:rsidTr="003C756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5-10,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81D">
              <w:rPr>
                <w:rFonts w:ascii="Arial" w:hAnsi="Arial" w:cs="Arial"/>
                <w:sz w:val="24"/>
                <w:szCs w:val="24"/>
              </w:rPr>
              <w:t>&lt;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шт.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3C756D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&gt;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10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D4481D" w:rsidRPr="00D4481D" w:rsidTr="003C756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537847" w:rsidRPr="00D4481D" w:rsidTr="003C756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с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законом</w:t>
            </w:r>
            <w:r w:rsidR="003C756D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56D" w:rsidRPr="00D4481D">
              <w:rPr>
                <w:rFonts w:ascii="Arial" w:hAnsi="Arial" w:cs="Arial"/>
                <w:sz w:val="24"/>
                <w:szCs w:val="24"/>
              </w:rPr>
              <w:t>___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№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56D" w:rsidRPr="00D4481D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847" w:rsidRPr="00D4481D" w:rsidRDefault="00537847" w:rsidP="003C7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или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превышение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нормальных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более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чем</w:t>
            </w:r>
            <w:r w:rsidR="003C756D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Исполняющий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заместителя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3C756D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К.Г.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Чайка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ФОРМА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756D" w:rsidRPr="00D4481D" w:rsidRDefault="003C756D" w:rsidP="003C756D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Бланк Контрольного органа___________________________________________</w:t>
      </w:r>
    </w:p>
    <w:p w:rsidR="003C756D" w:rsidRPr="00D4481D" w:rsidRDefault="003C756D" w:rsidP="003C756D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 должность руководителя контролируемого лица)</w:t>
      </w:r>
    </w:p>
    <w:p w:rsidR="003C756D" w:rsidRPr="00D4481D" w:rsidRDefault="003C756D" w:rsidP="003C756D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___________________________________________</w:t>
      </w:r>
    </w:p>
    <w:p w:rsidR="003C756D" w:rsidRPr="00D4481D" w:rsidRDefault="003C756D" w:rsidP="003C756D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 полное наименование контролируемого лица)</w:t>
      </w:r>
    </w:p>
    <w:p w:rsidR="003C756D" w:rsidRPr="00D4481D" w:rsidRDefault="003C756D" w:rsidP="003C756D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___________________________________________</w:t>
      </w:r>
    </w:p>
    <w:p w:rsidR="003C756D" w:rsidRPr="00D4481D" w:rsidRDefault="003C756D" w:rsidP="003C756D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 фамилия, имя, отчество</w:t>
      </w:r>
    </w:p>
    <w:p w:rsidR="003C756D" w:rsidRPr="00D4481D" w:rsidRDefault="003C756D" w:rsidP="003C756D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(при наличии) руководителя контролируемого лица)</w:t>
      </w:r>
    </w:p>
    <w:p w:rsidR="003C756D" w:rsidRPr="00D4481D" w:rsidRDefault="003C756D" w:rsidP="003C756D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___________________________________________</w:t>
      </w:r>
    </w:p>
    <w:p w:rsidR="00537847" w:rsidRPr="00D4481D" w:rsidRDefault="003C756D" w:rsidP="003C756D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 адрес места нахождения контролируемого лица)</w:t>
      </w:r>
    </w:p>
    <w:p w:rsidR="003C756D" w:rsidRPr="00D4481D" w:rsidRDefault="003C756D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11" w:name="Par320"/>
      <w:bookmarkEnd w:id="11"/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ПРЕДПИСАНИЕ</w:t>
      </w:r>
    </w:p>
    <w:p w:rsidR="00537847" w:rsidRPr="00D4481D" w:rsidRDefault="003C756D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________________</w:t>
      </w:r>
      <w:r w:rsidR="00537847" w:rsidRPr="00D4481D">
        <w:rPr>
          <w:rFonts w:ascii="Arial" w:hAnsi="Arial" w:cs="Arial"/>
          <w:sz w:val="24"/>
          <w:szCs w:val="24"/>
        </w:rPr>
        <w:t>___________________________________________________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дательном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падеже)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________________</w:t>
      </w:r>
      <w:r w:rsidR="003C756D" w:rsidRPr="00D4481D">
        <w:rPr>
          <w:rFonts w:ascii="Arial" w:hAnsi="Arial" w:cs="Arial"/>
          <w:sz w:val="24"/>
          <w:szCs w:val="24"/>
        </w:rPr>
        <w:t>__________________________</w:t>
      </w:r>
      <w:r w:rsidRPr="00D4481D">
        <w:rPr>
          <w:rFonts w:ascii="Arial" w:hAnsi="Arial" w:cs="Arial"/>
          <w:sz w:val="24"/>
          <w:szCs w:val="24"/>
        </w:rPr>
        <w:t>___________,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81D">
        <w:rPr>
          <w:rFonts w:ascii="Arial" w:hAnsi="Arial" w:cs="Arial"/>
          <w:sz w:val="24"/>
          <w:szCs w:val="24"/>
        </w:rPr>
        <w:t>вид</w:t>
      </w:r>
      <w:proofErr w:type="gramEnd"/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форма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3C756D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проведенной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_____________________</w:t>
      </w:r>
      <w:r w:rsidR="003C756D" w:rsidRPr="00D4481D">
        <w:rPr>
          <w:rFonts w:ascii="Arial" w:hAnsi="Arial" w:cs="Arial"/>
          <w:sz w:val="24"/>
          <w:szCs w:val="24"/>
        </w:rPr>
        <w:t>_</w:t>
      </w:r>
      <w:r w:rsidRPr="00D4481D">
        <w:rPr>
          <w:rFonts w:ascii="Arial" w:hAnsi="Arial" w:cs="Arial"/>
          <w:sz w:val="24"/>
          <w:szCs w:val="24"/>
        </w:rPr>
        <w:t>_________________________________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="003C756D" w:rsidRPr="00D4481D">
        <w:rPr>
          <w:rFonts w:ascii="Arial" w:hAnsi="Arial" w:cs="Arial"/>
          <w:sz w:val="24"/>
          <w:szCs w:val="24"/>
        </w:rPr>
        <w:t>_______________</w:t>
      </w:r>
      <w:r w:rsidRPr="00D4481D">
        <w:rPr>
          <w:rFonts w:ascii="Arial" w:hAnsi="Arial" w:cs="Arial"/>
          <w:sz w:val="24"/>
          <w:szCs w:val="24"/>
        </w:rPr>
        <w:t>_________________________________________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контролируемого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период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«__»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«__»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</w:t>
      </w:r>
      <w:r w:rsidR="003C756D" w:rsidRPr="00D4481D">
        <w:rPr>
          <w:rFonts w:ascii="Arial" w:hAnsi="Arial" w:cs="Arial"/>
          <w:sz w:val="24"/>
          <w:szCs w:val="24"/>
        </w:rPr>
        <w:t>____________________________</w:t>
      </w:r>
      <w:r w:rsidRPr="00D4481D">
        <w:rPr>
          <w:rFonts w:ascii="Arial" w:hAnsi="Arial" w:cs="Arial"/>
          <w:sz w:val="24"/>
          <w:szCs w:val="24"/>
        </w:rPr>
        <w:t>_________________________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реквизиты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выявлены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</w:t>
      </w:r>
      <w:r w:rsidR="003C756D" w:rsidRPr="00D4481D">
        <w:rPr>
          <w:rFonts w:ascii="Arial" w:hAnsi="Arial" w:cs="Arial"/>
          <w:sz w:val="24"/>
          <w:szCs w:val="24"/>
        </w:rPr>
        <w:t>__________</w:t>
      </w:r>
      <w:r w:rsidRPr="00D4481D">
        <w:rPr>
          <w:rFonts w:ascii="Arial" w:hAnsi="Arial" w:cs="Arial"/>
          <w:sz w:val="24"/>
          <w:szCs w:val="24"/>
        </w:rPr>
        <w:t>___________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законодательства:</w:t>
      </w:r>
    </w:p>
    <w:p w:rsidR="00537847" w:rsidRPr="00D4481D" w:rsidRDefault="00537847" w:rsidP="003C756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(перечисляются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указанием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структурных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единиц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нормативных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актов,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которыми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данные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требования)</w:t>
      </w:r>
    </w:p>
    <w:p w:rsidR="00783772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изложенного,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статьи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90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31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июля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2020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№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248-ФЗ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государственном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(надзоре)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="00783772" w:rsidRPr="00D4481D">
        <w:rPr>
          <w:rFonts w:ascii="Arial" w:hAnsi="Arial" w:cs="Arial"/>
          <w:sz w:val="24"/>
          <w:szCs w:val="24"/>
        </w:rPr>
        <w:t>_________________</w:t>
      </w:r>
    </w:p>
    <w:p w:rsidR="00537847" w:rsidRPr="00D4481D" w:rsidRDefault="00537847" w:rsidP="007837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____________________________________</w:t>
      </w:r>
      <w:r w:rsidR="00783772" w:rsidRPr="00D4481D">
        <w:rPr>
          <w:rFonts w:ascii="Arial" w:hAnsi="Arial" w:cs="Arial"/>
          <w:sz w:val="24"/>
          <w:szCs w:val="24"/>
        </w:rPr>
        <w:t>____</w:t>
      </w:r>
      <w:r w:rsidRPr="00D4481D">
        <w:rPr>
          <w:rFonts w:ascii="Arial" w:hAnsi="Arial" w:cs="Arial"/>
          <w:sz w:val="24"/>
          <w:szCs w:val="24"/>
        </w:rPr>
        <w:t>________________________________</w:t>
      </w:r>
    </w:p>
    <w:p w:rsidR="00537847" w:rsidRPr="00D4481D" w:rsidRDefault="00537847" w:rsidP="007837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предписывает: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«______»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включительно.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Уведомить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="00783772" w:rsidRPr="00D4481D">
        <w:rPr>
          <w:rFonts w:ascii="Arial" w:hAnsi="Arial" w:cs="Arial"/>
          <w:sz w:val="24"/>
          <w:szCs w:val="24"/>
        </w:rPr>
        <w:t>________</w:t>
      </w:r>
      <w:r w:rsidRPr="00D4481D">
        <w:rPr>
          <w:rFonts w:ascii="Arial" w:hAnsi="Arial" w:cs="Arial"/>
          <w:sz w:val="24"/>
          <w:szCs w:val="24"/>
        </w:rPr>
        <w:t>________________________________________________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(указывается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полное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наименование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органа)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исполнении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приложением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документов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сведений,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подтверждающих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«__»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_______________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20_____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включительно.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Неисполнение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настоящего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срок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влечет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ответственность,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установленную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законодательством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461"/>
        <w:gridCol w:w="3107"/>
      </w:tblGrid>
      <w:tr w:rsidR="00D4481D" w:rsidRPr="00D4481D" w:rsidTr="00783772">
        <w:tc>
          <w:tcPr>
            <w:tcW w:w="1633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783772" w:rsidRPr="00D4481D">
              <w:rPr>
                <w:rFonts w:ascii="Arial" w:hAnsi="Arial" w:cs="Arial"/>
                <w:sz w:val="24"/>
                <w:szCs w:val="24"/>
              </w:rPr>
              <w:t>_____</w:t>
            </w:r>
            <w:r w:rsidRPr="00D4481D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733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783772" w:rsidRPr="00D4481D">
              <w:rPr>
                <w:rFonts w:ascii="Arial" w:hAnsi="Arial" w:cs="Arial"/>
                <w:sz w:val="24"/>
                <w:szCs w:val="24"/>
              </w:rPr>
              <w:t>__</w:t>
            </w:r>
            <w:r w:rsidRPr="00D4481D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63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______</w:t>
            </w:r>
            <w:r w:rsidR="00783772" w:rsidRPr="00D4481D">
              <w:rPr>
                <w:rFonts w:ascii="Arial" w:hAnsi="Arial" w:cs="Arial"/>
                <w:sz w:val="24"/>
                <w:szCs w:val="24"/>
              </w:rPr>
              <w:t>____</w:t>
            </w:r>
            <w:r w:rsidRPr="00D4481D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537847" w:rsidRPr="00D4481D" w:rsidTr="00783772">
        <w:trPr>
          <w:trHeight w:val="1426"/>
        </w:trPr>
        <w:tc>
          <w:tcPr>
            <w:tcW w:w="1633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(должность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  <w:tc>
          <w:tcPr>
            <w:tcW w:w="1733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(подпись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  <w:tc>
          <w:tcPr>
            <w:tcW w:w="163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847" w:rsidRPr="00D4481D" w:rsidRDefault="00537847" w:rsidP="007837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81D">
              <w:rPr>
                <w:rFonts w:ascii="Arial" w:hAnsi="Arial" w:cs="Arial"/>
                <w:sz w:val="24"/>
                <w:szCs w:val="24"/>
              </w:rPr>
              <w:t>(фамилия,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имя,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(при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лица,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на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CC2D8E" w:rsidRPr="00D4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81D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</w:tr>
    </w:tbl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3772" w:rsidRPr="00D4481D" w:rsidRDefault="00783772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3772" w:rsidRPr="00D4481D" w:rsidRDefault="00783772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Исполняющий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заместителя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783772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К.Г.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Чайка</w:t>
      </w:r>
    </w:p>
    <w:p w:rsidR="00783772" w:rsidRPr="00D4481D" w:rsidRDefault="00783772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3772" w:rsidRPr="00D4481D" w:rsidRDefault="00783772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3772" w:rsidRPr="00D4481D" w:rsidRDefault="00783772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Приложение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4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Положению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7837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КЛЮЧЕВЫЕ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</w:p>
    <w:p w:rsidR="00537847" w:rsidRPr="00D4481D" w:rsidRDefault="00537847" w:rsidP="007837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вида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индикативные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1.Ключевые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целевые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значения: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из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числа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70%.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выполнения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очередной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календарный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год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100%.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обоснованных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жалоб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(бездействие)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(или)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должностного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лица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результатам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которых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были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выявлены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нарушения,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приняты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соответствующие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меры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воздействия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5%.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вынесенных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судебных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решений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назначении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наказания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материалам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95%.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Доля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судебном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порядке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постановлений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делам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общего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количества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вынесенных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органом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постановлений,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исключением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постановлений,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отмененных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основании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статей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2.7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2.9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Кодекса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Российской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Федерации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административных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правонарушениях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-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0%.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2.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Индикативные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При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осуществлении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муниципального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автомобильном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транспорте,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наземном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электрическом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транспорте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дорожном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хозяйстве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границах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населенных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пунктов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устанавливаются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следующие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индикативные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показатели: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количество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количество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проведенных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внеплановых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количество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поступивших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возражений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отношении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акта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контрольного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мероприятия;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количество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выданных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предписаний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устранении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требований;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количество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устраненных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нарушений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обязательных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требований.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Исполняющий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обязанности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заместителя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главы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городского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поселения</w:t>
      </w:r>
    </w:p>
    <w:p w:rsidR="00783772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lastRenderedPageBreak/>
        <w:t>Апшеронского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района</w:t>
      </w:r>
    </w:p>
    <w:p w:rsidR="00537847" w:rsidRPr="00D4481D" w:rsidRDefault="00537847" w:rsidP="00CC2D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481D">
        <w:rPr>
          <w:rFonts w:ascii="Arial" w:hAnsi="Arial" w:cs="Arial"/>
          <w:sz w:val="24"/>
          <w:szCs w:val="24"/>
        </w:rPr>
        <w:t>К.Г.</w:t>
      </w:r>
      <w:r w:rsidR="00CC2D8E" w:rsidRPr="00D4481D">
        <w:rPr>
          <w:rFonts w:ascii="Arial" w:hAnsi="Arial" w:cs="Arial"/>
          <w:sz w:val="24"/>
          <w:szCs w:val="24"/>
        </w:rPr>
        <w:t xml:space="preserve"> </w:t>
      </w:r>
      <w:r w:rsidRPr="00D4481D">
        <w:rPr>
          <w:rFonts w:ascii="Arial" w:hAnsi="Arial" w:cs="Arial"/>
          <w:sz w:val="24"/>
          <w:szCs w:val="24"/>
        </w:rPr>
        <w:t>Чайка</w:t>
      </w:r>
    </w:p>
    <w:sectPr w:rsidR="00537847" w:rsidRPr="00D4481D" w:rsidSect="00635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C"/>
    <w:rsid w:val="0004099F"/>
    <w:rsid w:val="00067737"/>
    <w:rsid w:val="00130131"/>
    <w:rsid w:val="0015296B"/>
    <w:rsid w:val="00183607"/>
    <w:rsid w:val="001B6D62"/>
    <w:rsid w:val="001D6C3A"/>
    <w:rsid w:val="001F0B81"/>
    <w:rsid w:val="00251910"/>
    <w:rsid w:val="002626A9"/>
    <w:rsid w:val="00275B52"/>
    <w:rsid w:val="00297183"/>
    <w:rsid w:val="002E055F"/>
    <w:rsid w:val="003C4E25"/>
    <w:rsid w:val="003C756D"/>
    <w:rsid w:val="0046069F"/>
    <w:rsid w:val="00527EE0"/>
    <w:rsid w:val="00537847"/>
    <w:rsid w:val="0055194A"/>
    <w:rsid w:val="00552C20"/>
    <w:rsid w:val="005769D2"/>
    <w:rsid w:val="005C4566"/>
    <w:rsid w:val="005D1E32"/>
    <w:rsid w:val="006254B0"/>
    <w:rsid w:val="00635A73"/>
    <w:rsid w:val="00684C6F"/>
    <w:rsid w:val="00692545"/>
    <w:rsid w:val="006B57B4"/>
    <w:rsid w:val="006E2EFA"/>
    <w:rsid w:val="006F272E"/>
    <w:rsid w:val="00732206"/>
    <w:rsid w:val="007434CC"/>
    <w:rsid w:val="00754136"/>
    <w:rsid w:val="00770FDB"/>
    <w:rsid w:val="00783772"/>
    <w:rsid w:val="007E1B94"/>
    <w:rsid w:val="007E6F4B"/>
    <w:rsid w:val="008233B5"/>
    <w:rsid w:val="008A5A55"/>
    <w:rsid w:val="008B701F"/>
    <w:rsid w:val="0097379F"/>
    <w:rsid w:val="0098509F"/>
    <w:rsid w:val="009C1427"/>
    <w:rsid w:val="00A53FF0"/>
    <w:rsid w:val="00AC32B2"/>
    <w:rsid w:val="00AC4590"/>
    <w:rsid w:val="00AD7F3B"/>
    <w:rsid w:val="00AE315D"/>
    <w:rsid w:val="00B94CFE"/>
    <w:rsid w:val="00B95688"/>
    <w:rsid w:val="00BA1BBE"/>
    <w:rsid w:val="00BA3607"/>
    <w:rsid w:val="00C06787"/>
    <w:rsid w:val="00C55265"/>
    <w:rsid w:val="00C60C2B"/>
    <w:rsid w:val="00CA4D56"/>
    <w:rsid w:val="00CC27E6"/>
    <w:rsid w:val="00CC2D8E"/>
    <w:rsid w:val="00CD0BCC"/>
    <w:rsid w:val="00D15D92"/>
    <w:rsid w:val="00D4481D"/>
    <w:rsid w:val="00DB4A54"/>
    <w:rsid w:val="00E03099"/>
    <w:rsid w:val="00EB5C1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86291-BBE2-46BD-B905-5A69CCD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4E25"/>
  </w:style>
  <w:style w:type="paragraph" w:customStyle="1" w:styleId="bodytextindent">
    <w:name w:val="bodytextindent"/>
    <w:basedOn w:val="a"/>
    <w:rsid w:val="003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3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3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F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10462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58</cp:revision>
  <cp:lastPrinted>2021-10-26T07:49:00Z</cp:lastPrinted>
  <dcterms:created xsi:type="dcterms:W3CDTF">2021-10-22T10:00:00Z</dcterms:created>
  <dcterms:modified xsi:type="dcterms:W3CDTF">2021-12-15T06:38:00Z</dcterms:modified>
</cp:coreProperties>
</file>